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3DE1A" w14:textId="4377B31D" w:rsidR="00CA7818" w:rsidRPr="00380610" w:rsidRDefault="00CA7818" w:rsidP="00380610">
      <w:pPr>
        <w:ind w:left="360"/>
        <w:jc w:val="center"/>
        <w:rPr>
          <w:rFonts w:ascii="Century Gothic" w:hAnsi="Century Gothic"/>
          <w:b/>
          <w:bCs/>
          <w:sz w:val="22"/>
          <w:szCs w:val="22"/>
        </w:rPr>
      </w:pPr>
      <w:r w:rsidRPr="009E3580">
        <w:rPr>
          <w:rFonts w:ascii="Century Gothic" w:hAnsi="Century Gothic"/>
          <w:b/>
          <w:bCs/>
        </w:rPr>
        <w:t>Liquidity Coverage Ratio (LCR):</w:t>
      </w:r>
    </w:p>
    <w:p w14:paraId="28DCA5D6" w14:textId="77777777" w:rsidR="00766F25" w:rsidRDefault="00766F25" w:rsidP="00766F25">
      <w:pPr>
        <w:jc w:val="both"/>
        <w:rPr>
          <w:rFonts w:ascii="Century Gothic" w:hAnsi="Century Gothic"/>
          <w:b/>
          <w:bCs/>
          <w:u w:val="single"/>
        </w:rPr>
      </w:pPr>
    </w:p>
    <w:p w14:paraId="2EBC8701" w14:textId="77777777" w:rsidR="00CA7818" w:rsidRPr="009E3580" w:rsidRDefault="00CA7818" w:rsidP="00766F25">
      <w:pPr>
        <w:jc w:val="both"/>
        <w:rPr>
          <w:rFonts w:ascii="Century Gothic" w:hAnsi="Century Gothic"/>
          <w:b/>
          <w:bCs/>
          <w:u w:val="single"/>
        </w:rPr>
      </w:pPr>
      <w:r w:rsidRPr="009E3580">
        <w:rPr>
          <w:rFonts w:ascii="Century Gothic" w:hAnsi="Century Gothic"/>
          <w:b/>
          <w:bCs/>
          <w:u w:val="single"/>
        </w:rPr>
        <w:t>Quantitative Disclosure:</w:t>
      </w:r>
    </w:p>
    <w:p w14:paraId="1193F8FF" w14:textId="77777777" w:rsidR="00CA7818" w:rsidRPr="009E3580" w:rsidRDefault="00CA7818" w:rsidP="00CA7818">
      <w:pPr>
        <w:ind w:left="720"/>
        <w:jc w:val="both"/>
        <w:rPr>
          <w:rFonts w:ascii="Century Gothic" w:hAnsi="Century Gothic"/>
          <w:b/>
          <w:bCs/>
          <w:sz w:val="22"/>
          <w:szCs w:val="22"/>
        </w:rPr>
      </w:pPr>
    </w:p>
    <w:tbl>
      <w:tblPr>
        <w:tblW w:w="5000" w:type="pct"/>
        <w:tblLook w:val="04A0" w:firstRow="1" w:lastRow="0" w:firstColumn="1" w:lastColumn="0" w:noHBand="0" w:noVBand="1"/>
      </w:tblPr>
      <w:tblGrid>
        <w:gridCol w:w="908"/>
        <w:gridCol w:w="5530"/>
        <w:gridCol w:w="2041"/>
        <w:gridCol w:w="182"/>
        <w:gridCol w:w="365"/>
        <w:gridCol w:w="346"/>
        <w:gridCol w:w="334"/>
        <w:gridCol w:w="634"/>
        <w:gridCol w:w="222"/>
      </w:tblGrid>
      <w:tr w:rsidR="00527862" w:rsidRPr="009E3580" w14:paraId="7E174701" w14:textId="77777777" w:rsidTr="00A36543">
        <w:trPr>
          <w:trHeight w:val="315"/>
        </w:trPr>
        <w:tc>
          <w:tcPr>
            <w:tcW w:w="4100" w:type="pct"/>
            <w:gridSpan w:val="4"/>
            <w:tcBorders>
              <w:top w:val="nil"/>
              <w:left w:val="nil"/>
              <w:bottom w:val="single" w:sz="8" w:space="0" w:color="auto"/>
              <w:right w:val="nil"/>
            </w:tcBorders>
            <w:shd w:val="clear" w:color="auto" w:fill="auto"/>
            <w:noWrap/>
            <w:vAlign w:val="center"/>
            <w:hideMark/>
          </w:tcPr>
          <w:p w14:paraId="6F821F3C" w14:textId="70342B57" w:rsidR="00531E1B" w:rsidRPr="00A03097" w:rsidRDefault="00531E1B" w:rsidP="0054487B">
            <w:pPr>
              <w:jc w:val="both"/>
              <w:rPr>
                <w:rFonts w:ascii="Century Gothic" w:hAnsi="Century Gothic" w:cs="Calibri"/>
                <w:b/>
                <w:bCs/>
                <w:sz w:val="22"/>
                <w:szCs w:val="22"/>
                <w:lang w:val="en-IN" w:eastAsia="en-IN" w:bidi="hi-IN"/>
              </w:rPr>
            </w:pPr>
            <w:r w:rsidRPr="00A03097">
              <w:rPr>
                <w:rFonts w:ascii="Century Gothic" w:hAnsi="Century Gothic" w:cs="Calibri"/>
                <w:b/>
                <w:bCs/>
                <w:sz w:val="22"/>
                <w:szCs w:val="22"/>
                <w:lang w:val="en-IN" w:eastAsia="en-IN" w:bidi="hi-IN"/>
              </w:rPr>
              <w:t xml:space="preserve">LIQUIDITY COVERAGE RATIO (For quarter ended </w:t>
            </w:r>
            <w:r w:rsidR="0054487B">
              <w:rPr>
                <w:rFonts w:ascii="Century Gothic" w:hAnsi="Century Gothic" w:cs="Calibri"/>
                <w:b/>
                <w:bCs/>
                <w:sz w:val="22"/>
                <w:szCs w:val="22"/>
                <w:lang w:val="en-IN" w:eastAsia="en-IN" w:bidi="hi-IN"/>
              </w:rPr>
              <w:t>Mar 2026</w:t>
            </w:r>
            <w:r w:rsidRPr="00A03097">
              <w:rPr>
                <w:rFonts w:ascii="Century Gothic" w:hAnsi="Century Gothic" w:cs="Calibri"/>
                <w:b/>
                <w:bCs/>
                <w:sz w:val="22"/>
                <w:szCs w:val="22"/>
                <w:lang w:val="en-IN" w:eastAsia="en-IN" w:bidi="hi-IN"/>
              </w:rPr>
              <w:t>)-</w:t>
            </w:r>
          </w:p>
        </w:tc>
        <w:tc>
          <w:tcPr>
            <w:tcW w:w="173" w:type="pct"/>
            <w:tcBorders>
              <w:top w:val="nil"/>
              <w:left w:val="nil"/>
              <w:bottom w:val="nil"/>
              <w:right w:val="nil"/>
            </w:tcBorders>
            <w:shd w:val="clear" w:color="auto" w:fill="auto"/>
            <w:vAlign w:val="center"/>
            <w:hideMark/>
          </w:tcPr>
          <w:p w14:paraId="6DF52F3D" w14:textId="77777777" w:rsidR="00531E1B" w:rsidRPr="009E3580" w:rsidRDefault="00531E1B" w:rsidP="00531E1B">
            <w:pPr>
              <w:jc w:val="both"/>
              <w:rPr>
                <w:rFonts w:ascii="Century Gothic" w:hAnsi="Century Gothic" w:cs="Calibri"/>
                <w:sz w:val="20"/>
                <w:szCs w:val="20"/>
                <w:lang w:val="en-IN" w:eastAsia="en-IN" w:bidi="hi-IN"/>
              </w:rPr>
            </w:pPr>
          </w:p>
        </w:tc>
        <w:tc>
          <w:tcPr>
            <w:tcW w:w="164" w:type="pct"/>
            <w:tcBorders>
              <w:top w:val="nil"/>
              <w:left w:val="nil"/>
              <w:bottom w:val="nil"/>
              <w:right w:val="nil"/>
            </w:tcBorders>
            <w:shd w:val="clear" w:color="auto" w:fill="auto"/>
            <w:vAlign w:val="center"/>
            <w:hideMark/>
          </w:tcPr>
          <w:p w14:paraId="72222D52" w14:textId="77777777" w:rsidR="00531E1B" w:rsidRPr="009E3580" w:rsidRDefault="00531E1B" w:rsidP="00531E1B">
            <w:pPr>
              <w:jc w:val="both"/>
              <w:rPr>
                <w:rFonts w:ascii="Century Gothic" w:hAnsi="Century Gothic" w:cs="Calibri"/>
                <w:sz w:val="20"/>
                <w:szCs w:val="20"/>
                <w:lang w:val="en-IN" w:eastAsia="en-IN" w:bidi="hi-IN"/>
              </w:rPr>
            </w:pPr>
          </w:p>
        </w:tc>
        <w:tc>
          <w:tcPr>
            <w:tcW w:w="158" w:type="pct"/>
            <w:tcBorders>
              <w:top w:val="nil"/>
              <w:left w:val="nil"/>
              <w:bottom w:val="nil"/>
              <w:right w:val="nil"/>
            </w:tcBorders>
            <w:shd w:val="clear" w:color="auto" w:fill="auto"/>
            <w:vAlign w:val="center"/>
            <w:hideMark/>
          </w:tcPr>
          <w:p w14:paraId="24318DDD" w14:textId="77777777" w:rsidR="00531E1B" w:rsidRPr="009E3580" w:rsidRDefault="00531E1B" w:rsidP="00531E1B">
            <w:pPr>
              <w:jc w:val="both"/>
              <w:rPr>
                <w:rFonts w:ascii="Century Gothic" w:hAnsi="Century Gothic" w:cs="Calibri"/>
                <w:sz w:val="20"/>
                <w:szCs w:val="20"/>
                <w:lang w:val="en-IN" w:eastAsia="en-IN" w:bidi="hi-IN"/>
              </w:rPr>
            </w:pPr>
          </w:p>
        </w:tc>
        <w:tc>
          <w:tcPr>
            <w:tcW w:w="405" w:type="pct"/>
            <w:gridSpan w:val="2"/>
            <w:tcBorders>
              <w:top w:val="nil"/>
              <w:left w:val="nil"/>
              <w:bottom w:val="nil"/>
              <w:right w:val="nil"/>
            </w:tcBorders>
            <w:shd w:val="clear" w:color="auto" w:fill="auto"/>
            <w:vAlign w:val="center"/>
            <w:hideMark/>
          </w:tcPr>
          <w:p w14:paraId="1C1C207E" w14:textId="77777777" w:rsidR="00531E1B" w:rsidRPr="009E3580" w:rsidRDefault="00531E1B" w:rsidP="00531E1B">
            <w:pPr>
              <w:jc w:val="both"/>
              <w:rPr>
                <w:rFonts w:ascii="Century Gothic" w:hAnsi="Century Gothic" w:cs="Calibri"/>
                <w:sz w:val="20"/>
                <w:szCs w:val="20"/>
                <w:lang w:val="en-IN" w:eastAsia="en-IN" w:bidi="hi-IN"/>
              </w:rPr>
            </w:pPr>
          </w:p>
        </w:tc>
      </w:tr>
      <w:tr w:rsidR="00527862" w:rsidRPr="009E3580" w14:paraId="1BE6BFEB" w14:textId="77777777" w:rsidTr="00385D30">
        <w:trPr>
          <w:gridAfter w:val="1"/>
          <w:wAfter w:w="105" w:type="pct"/>
          <w:trHeight w:val="330"/>
        </w:trPr>
        <w:tc>
          <w:tcPr>
            <w:tcW w:w="4895" w:type="pct"/>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2FA558" w14:textId="7CA9883C" w:rsidR="00531E1B" w:rsidRPr="009E3580" w:rsidRDefault="00531E1B" w:rsidP="00531E1B">
            <w:pPr>
              <w:jc w:val="right"/>
              <w:rPr>
                <w:rFonts w:ascii="Century Gothic" w:hAnsi="Century Gothic" w:cs="Calibri"/>
                <w:bCs/>
                <w:sz w:val="20"/>
                <w:szCs w:val="20"/>
                <w:lang w:val="en-IN" w:eastAsia="en-IN" w:bidi="hi-IN"/>
              </w:rPr>
            </w:pPr>
            <w:r w:rsidRPr="009E3580">
              <w:rPr>
                <w:rFonts w:ascii="Century Gothic" w:hAnsi="Century Gothic" w:cs="Calibri"/>
                <w:bCs/>
                <w:sz w:val="20"/>
                <w:szCs w:val="20"/>
                <w:lang w:eastAsia="en-IN" w:bidi="hi-IN"/>
              </w:rPr>
              <w:t xml:space="preserve">(Amount in </w:t>
            </w:r>
            <w:proofErr w:type="spellStart"/>
            <w:r w:rsidRPr="009E3580">
              <w:rPr>
                <w:rFonts w:ascii="Century Gothic" w:hAnsi="Century Gothic" w:cs="Calibri"/>
                <w:bCs/>
                <w:sz w:val="20"/>
                <w:szCs w:val="20"/>
                <w:lang w:eastAsia="en-IN" w:bidi="hi-IN"/>
              </w:rPr>
              <w:t>Rs</w:t>
            </w:r>
            <w:proofErr w:type="spellEnd"/>
            <w:r w:rsidRPr="009E3580">
              <w:rPr>
                <w:rFonts w:ascii="Century Gothic" w:hAnsi="Century Gothic" w:cs="Calibri"/>
                <w:bCs/>
                <w:sz w:val="20"/>
                <w:szCs w:val="20"/>
                <w:lang w:eastAsia="en-IN" w:bidi="hi-IN"/>
              </w:rPr>
              <w:t xml:space="preserve">. </w:t>
            </w:r>
            <w:proofErr w:type="spellStart"/>
            <w:r w:rsidRPr="009E3580">
              <w:rPr>
                <w:rFonts w:ascii="Century Gothic" w:hAnsi="Century Gothic" w:cs="Calibri"/>
                <w:bCs/>
                <w:sz w:val="20"/>
                <w:szCs w:val="20"/>
                <w:lang w:eastAsia="en-IN" w:bidi="hi-IN"/>
              </w:rPr>
              <w:t>Crores</w:t>
            </w:r>
            <w:proofErr w:type="spellEnd"/>
            <w:r w:rsidRPr="009E3580">
              <w:rPr>
                <w:rFonts w:ascii="Century Gothic" w:hAnsi="Century Gothic" w:cs="Calibri"/>
                <w:bCs/>
                <w:sz w:val="20"/>
                <w:szCs w:val="20"/>
                <w:lang w:eastAsia="en-IN" w:bidi="hi-IN"/>
              </w:rPr>
              <w:t>)</w:t>
            </w:r>
          </w:p>
        </w:tc>
      </w:tr>
      <w:tr w:rsidR="006A3D69" w:rsidRPr="009E3580" w14:paraId="23A9D662" w14:textId="77777777" w:rsidTr="006A3D69">
        <w:trPr>
          <w:gridAfter w:val="1"/>
          <w:wAfter w:w="105" w:type="pct"/>
          <w:trHeight w:val="300"/>
        </w:trPr>
        <w:tc>
          <w:tcPr>
            <w:tcW w:w="4895" w:type="pct"/>
            <w:gridSpan w:val="8"/>
            <w:vMerge w:val="restart"/>
            <w:tcBorders>
              <w:top w:val="single" w:sz="8" w:space="0" w:color="auto"/>
              <w:left w:val="single" w:sz="8" w:space="0" w:color="auto"/>
              <w:right w:val="single" w:sz="8" w:space="0" w:color="000000"/>
            </w:tcBorders>
            <w:shd w:val="clear" w:color="auto" w:fill="auto"/>
            <w:noWrap/>
            <w:vAlign w:val="bottom"/>
            <w:hideMark/>
          </w:tcPr>
          <w:p w14:paraId="5C9A39D7" w14:textId="2EE0BFE4" w:rsidR="006A3D69" w:rsidRPr="006A3D69" w:rsidRDefault="006A3D69" w:rsidP="0054487B">
            <w:pPr>
              <w:jc w:val="center"/>
              <w:rPr>
                <w:rFonts w:ascii="Century Gothic" w:hAnsi="Century Gothic" w:cs="Calibri"/>
                <w:b/>
                <w:bCs/>
                <w:lang w:val="en-IN" w:eastAsia="en-IN" w:bidi="hi-IN"/>
              </w:rPr>
            </w:pPr>
            <w:r w:rsidRPr="006A3D69">
              <w:rPr>
                <w:rFonts w:ascii="Century Gothic" w:hAnsi="Century Gothic" w:cs="Calibri"/>
                <w:b/>
                <w:bCs/>
                <w:lang w:eastAsia="en-IN" w:bidi="hi-IN"/>
              </w:rPr>
              <w:t>Quarter ended 3</w:t>
            </w:r>
            <w:r w:rsidR="00B84198">
              <w:rPr>
                <w:rFonts w:ascii="Century Gothic" w:hAnsi="Century Gothic" w:cs="Calibri"/>
                <w:b/>
                <w:bCs/>
                <w:lang w:eastAsia="en-IN" w:bidi="hi-IN"/>
              </w:rPr>
              <w:t>1.</w:t>
            </w:r>
            <w:r w:rsidR="0054487B">
              <w:rPr>
                <w:rFonts w:ascii="Century Gothic" w:hAnsi="Century Gothic" w:cs="Calibri"/>
                <w:b/>
                <w:bCs/>
                <w:lang w:eastAsia="en-IN" w:bidi="hi-IN"/>
              </w:rPr>
              <w:t>03</w:t>
            </w:r>
            <w:r w:rsidRPr="006A3D69">
              <w:rPr>
                <w:rFonts w:ascii="Century Gothic" w:hAnsi="Century Gothic" w:cs="Calibri"/>
                <w:b/>
                <w:bCs/>
                <w:lang w:eastAsia="en-IN" w:bidi="hi-IN"/>
              </w:rPr>
              <w:t>.202</w:t>
            </w:r>
            <w:r w:rsidR="0054487B">
              <w:rPr>
                <w:rFonts w:ascii="Century Gothic" w:hAnsi="Century Gothic" w:cs="Calibri"/>
                <w:b/>
                <w:bCs/>
                <w:lang w:eastAsia="en-IN" w:bidi="hi-IN"/>
              </w:rPr>
              <w:t>6</w:t>
            </w:r>
          </w:p>
        </w:tc>
      </w:tr>
      <w:tr w:rsidR="006A3D69" w:rsidRPr="009E3580" w14:paraId="69A86647" w14:textId="77777777" w:rsidTr="006A3D69">
        <w:trPr>
          <w:trHeight w:val="80"/>
        </w:trPr>
        <w:tc>
          <w:tcPr>
            <w:tcW w:w="4895" w:type="pct"/>
            <w:gridSpan w:val="8"/>
            <w:vMerge/>
            <w:tcBorders>
              <w:left w:val="single" w:sz="8" w:space="0" w:color="auto"/>
              <w:bottom w:val="single" w:sz="8" w:space="0" w:color="000000"/>
              <w:right w:val="single" w:sz="8" w:space="0" w:color="000000"/>
            </w:tcBorders>
            <w:vAlign w:val="center"/>
            <w:hideMark/>
          </w:tcPr>
          <w:p w14:paraId="1339A05C" w14:textId="77777777" w:rsidR="006A3D69" w:rsidRPr="009E3580" w:rsidRDefault="006A3D69" w:rsidP="00531E1B">
            <w:pPr>
              <w:rPr>
                <w:rFonts w:ascii="Century Gothic" w:hAnsi="Century Gothic" w:cs="Calibri"/>
                <w:b/>
                <w:bCs/>
                <w:sz w:val="20"/>
                <w:szCs w:val="20"/>
                <w:lang w:val="en-IN" w:eastAsia="en-IN" w:bidi="hi-IN"/>
              </w:rPr>
            </w:pPr>
          </w:p>
        </w:tc>
        <w:tc>
          <w:tcPr>
            <w:tcW w:w="105" w:type="pct"/>
            <w:tcBorders>
              <w:top w:val="nil"/>
              <w:left w:val="single" w:sz="8" w:space="0" w:color="auto"/>
              <w:bottom w:val="nil"/>
              <w:right w:val="nil"/>
            </w:tcBorders>
            <w:vAlign w:val="center"/>
            <w:hideMark/>
          </w:tcPr>
          <w:p w14:paraId="24C9B819" w14:textId="77777777" w:rsidR="006A3D69" w:rsidRPr="009E3580" w:rsidRDefault="006A3D69" w:rsidP="00531E1B">
            <w:pPr>
              <w:rPr>
                <w:rFonts w:ascii="Century Gothic" w:hAnsi="Century Gothic"/>
                <w:lang w:val="en-IN" w:eastAsia="en-IN" w:bidi="hi-IN"/>
              </w:rPr>
            </w:pPr>
          </w:p>
        </w:tc>
      </w:tr>
      <w:tr w:rsidR="00527862" w:rsidRPr="009E3580" w14:paraId="2E92DCD8" w14:textId="77777777" w:rsidTr="00DA19EB">
        <w:trPr>
          <w:gridAfter w:val="1"/>
          <w:wAfter w:w="105" w:type="pct"/>
          <w:trHeight w:val="824"/>
        </w:trPr>
        <w:tc>
          <w:tcPr>
            <w:tcW w:w="3048"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FC58275" w14:textId="77777777" w:rsidR="00531E1B" w:rsidRPr="006A3D69" w:rsidRDefault="00531E1B" w:rsidP="00531E1B">
            <w:pPr>
              <w:rPr>
                <w:rFonts w:ascii="Century Gothic" w:hAnsi="Century Gothic" w:cs="Calibri"/>
                <w:b/>
                <w:bCs/>
                <w:sz w:val="22"/>
                <w:szCs w:val="22"/>
                <w:lang w:val="en-IN" w:eastAsia="en-IN" w:bidi="hi-IN"/>
              </w:rPr>
            </w:pPr>
            <w:r w:rsidRPr="006A3D69">
              <w:rPr>
                <w:rFonts w:ascii="Century Gothic" w:hAnsi="Century Gothic" w:cs="Calibri"/>
                <w:b/>
                <w:bCs/>
                <w:sz w:val="22"/>
                <w:szCs w:val="22"/>
                <w:lang w:val="en-IN" w:eastAsia="en-IN" w:bidi="hi-IN"/>
              </w:rPr>
              <w:t> </w:t>
            </w:r>
            <w:r w:rsidR="00AA6CD3" w:rsidRPr="006A3D69">
              <w:rPr>
                <w:rFonts w:ascii="Century Gothic" w:hAnsi="Century Gothic" w:cs="Calibri"/>
                <w:b/>
                <w:bCs/>
                <w:sz w:val="22"/>
                <w:szCs w:val="22"/>
                <w:lang w:val="en-IN" w:eastAsia="en-IN" w:bidi="hi-IN"/>
              </w:rPr>
              <w:t>Particulars</w:t>
            </w:r>
          </w:p>
          <w:p w14:paraId="472A9620" w14:textId="77777777" w:rsidR="006A3D69" w:rsidRDefault="006A3D69" w:rsidP="00531E1B">
            <w:pPr>
              <w:rPr>
                <w:rFonts w:ascii="Century Gothic" w:hAnsi="Century Gothic" w:cs="Calibri"/>
                <w:b/>
                <w:bCs/>
                <w:sz w:val="22"/>
                <w:szCs w:val="22"/>
                <w:lang w:val="en-IN" w:eastAsia="en-IN" w:bidi="hi-IN"/>
              </w:rPr>
            </w:pPr>
          </w:p>
          <w:p w14:paraId="7C68B1C4" w14:textId="66014204" w:rsidR="006A3D69" w:rsidRPr="006A3D69" w:rsidRDefault="006A3D69" w:rsidP="00531E1B">
            <w:pPr>
              <w:rPr>
                <w:rFonts w:ascii="Century Gothic" w:hAnsi="Century Gothic" w:cs="Calibri"/>
                <w:b/>
                <w:bCs/>
                <w:sz w:val="22"/>
                <w:szCs w:val="22"/>
                <w:lang w:val="en-IN" w:eastAsia="en-IN" w:bidi="hi-IN"/>
              </w:rPr>
            </w:pPr>
          </w:p>
        </w:tc>
        <w:tc>
          <w:tcPr>
            <w:tcW w:w="966" w:type="pct"/>
            <w:tcBorders>
              <w:top w:val="nil"/>
              <w:left w:val="nil"/>
              <w:bottom w:val="single" w:sz="4" w:space="0" w:color="auto"/>
              <w:right w:val="single" w:sz="8" w:space="0" w:color="auto"/>
            </w:tcBorders>
            <w:shd w:val="clear" w:color="auto" w:fill="auto"/>
            <w:vAlign w:val="center"/>
            <w:hideMark/>
          </w:tcPr>
          <w:p w14:paraId="2044C05F" w14:textId="77777777"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Total Un-weighted</w:t>
            </w:r>
            <w:r w:rsidR="0022624A" w:rsidRPr="009E3580">
              <w:rPr>
                <w:rFonts w:ascii="Century Gothic" w:hAnsi="Century Gothic" w:cs="Calibri"/>
                <w:b/>
                <w:bCs/>
                <w:sz w:val="20"/>
                <w:szCs w:val="20"/>
                <w:lang w:eastAsia="en-IN" w:bidi="hi-IN"/>
              </w:rPr>
              <w:t xml:space="preserve"> </w:t>
            </w:r>
          </w:p>
          <w:p w14:paraId="61556E98" w14:textId="626D9046"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 xml:space="preserve">Value </w:t>
            </w:r>
          </w:p>
          <w:p w14:paraId="5778B5B2" w14:textId="2580AC44" w:rsidR="00531E1B" w:rsidRPr="009E3580" w:rsidRDefault="00531E1B" w:rsidP="0022624A">
            <w:pPr>
              <w:jc w:val="cente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(Average)</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BEA980B" w14:textId="14BAE7A5"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Total Weighted</w:t>
            </w:r>
          </w:p>
          <w:p w14:paraId="545D6785" w14:textId="77777777"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 xml:space="preserve">Value </w:t>
            </w:r>
          </w:p>
          <w:p w14:paraId="4CDF537E" w14:textId="1E5949B6" w:rsidR="00531E1B" w:rsidRPr="009E3580" w:rsidRDefault="00531E1B" w:rsidP="0022624A">
            <w:pPr>
              <w:jc w:val="cente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(Average )</w:t>
            </w:r>
          </w:p>
        </w:tc>
      </w:tr>
      <w:tr w:rsidR="00527862" w:rsidRPr="009E3580" w14:paraId="1B2BB477" w14:textId="77777777" w:rsidTr="00DA19EB">
        <w:trPr>
          <w:gridAfter w:val="1"/>
          <w:wAfter w:w="105" w:type="pct"/>
          <w:trHeight w:val="553"/>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F1CAA" w14:textId="0894C86B" w:rsidR="00531E1B" w:rsidRPr="009E3580" w:rsidRDefault="00531E1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High Quality Liquid Assets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B8990" w14:textId="77777777" w:rsidR="00531E1B" w:rsidRPr="009E3580" w:rsidRDefault="00531E1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c>
          <w:tcPr>
            <w:tcW w:w="881" w:type="pct"/>
            <w:gridSpan w:val="5"/>
            <w:tcBorders>
              <w:top w:val="single" w:sz="8" w:space="0" w:color="auto"/>
              <w:left w:val="single" w:sz="4" w:space="0" w:color="auto"/>
              <w:bottom w:val="single" w:sz="4" w:space="0" w:color="auto"/>
              <w:right w:val="single" w:sz="8" w:space="0" w:color="000000"/>
            </w:tcBorders>
            <w:shd w:val="clear" w:color="auto" w:fill="auto"/>
            <w:vAlign w:val="center"/>
            <w:hideMark/>
          </w:tcPr>
          <w:p w14:paraId="2589310E" w14:textId="77777777" w:rsidR="00531E1B" w:rsidRPr="009E3580" w:rsidRDefault="00531E1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r>
      <w:tr w:rsidR="00527862" w:rsidRPr="009E3580" w14:paraId="3F401673" w14:textId="77777777" w:rsidTr="00DA19EB">
        <w:trPr>
          <w:gridAfter w:val="1"/>
          <w:wAfter w:w="105" w:type="pct"/>
          <w:trHeight w:val="33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7DDD1" w14:textId="77777777" w:rsidR="00531E1B" w:rsidRPr="009E3580" w:rsidRDefault="00531E1B" w:rsidP="00531E1B">
            <w:pPr>
              <w:rPr>
                <w:rFonts w:ascii="Century Gothic" w:hAnsi="Century Gothic" w:cs="Calibri"/>
                <w:b/>
                <w:bCs/>
                <w:sz w:val="20"/>
                <w:szCs w:val="20"/>
                <w:lang w:eastAsia="en-IN" w:bidi="hi-IN"/>
              </w:rPr>
            </w:pPr>
            <w:r w:rsidRPr="009E3580">
              <w:rPr>
                <w:rFonts w:ascii="Century Gothic" w:hAnsi="Century Gothic" w:cs="Calibri"/>
                <w:sz w:val="20"/>
                <w:szCs w:val="20"/>
                <w:lang w:eastAsia="en-IN" w:bidi="hi-IN"/>
              </w:rPr>
              <w:t>1</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42325ECA" w14:textId="477CB4E1" w:rsidR="00531E1B" w:rsidRPr="009E3580" w:rsidRDefault="00531E1B" w:rsidP="00531E1B">
            <w:pPr>
              <w:rPr>
                <w:rFonts w:ascii="Century Gothic" w:hAnsi="Century Gothic" w:cs="Calibri"/>
                <w:b/>
                <w:bCs/>
                <w:sz w:val="20"/>
                <w:szCs w:val="20"/>
                <w:lang w:eastAsia="en-IN" w:bidi="hi-IN"/>
              </w:rPr>
            </w:pPr>
            <w:r w:rsidRPr="009E3580">
              <w:rPr>
                <w:rFonts w:ascii="Century Gothic" w:hAnsi="Century Gothic" w:cs="Calibri"/>
                <w:sz w:val="20"/>
                <w:szCs w:val="20"/>
                <w:lang w:eastAsia="en-IN" w:bidi="hi-IN"/>
              </w:rPr>
              <w:t>Total High quality Liquid Assets(HQLA)</w:t>
            </w:r>
          </w:p>
        </w:tc>
        <w:tc>
          <w:tcPr>
            <w:tcW w:w="966"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6B3437" w14:textId="77777777" w:rsidR="00531E1B" w:rsidRPr="009E3580" w:rsidRDefault="00531E1B" w:rsidP="00A605C5">
            <w:pPr>
              <w:jc w:val="center"/>
              <w:rPr>
                <w:rFonts w:ascii="Century Gothic" w:hAnsi="Century Gothic" w:cs="Calibri"/>
                <w:b/>
                <w:bCs/>
                <w:sz w:val="20"/>
                <w:szCs w:val="20"/>
                <w:lang w:eastAsia="en-IN" w:bidi="hi-IN"/>
              </w:rPr>
            </w:pP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BEEABD" w14:textId="3BD4D872" w:rsidR="00531E1B" w:rsidRPr="000856AD" w:rsidRDefault="00196A3B" w:rsidP="0091428C">
            <w:pPr>
              <w:jc w:val="center"/>
              <w:rPr>
                <w:rFonts w:ascii="Century Gothic" w:hAnsi="Century Gothic" w:cs="Calibri"/>
                <w:color w:val="000000"/>
              </w:rPr>
            </w:pPr>
            <w:r>
              <w:rPr>
                <w:rFonts w:ascii="Century Gothic" w:hAnsi="Century Gothic" w:cs="Calibri"/>
              </w:rPr>
              <w:t>68,275.68</w:t>
            </w:r>
          </w:p>
        </w:tc>
      </w:tr>
      <w:tr w:rsidR="00527862" w:rsidRPr="009E3580" w14:paraId="2630F113" w14:textId="77777777" w:rsidTr="00DA19EB">
        <w:trPr>
          <w:gridAfter w:val="1"/>
          <w:wAfter w:w="105" w:type="pct"/>
          <w:trHeight w:val="563"/>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9D34" w14:textId="77777777" w:rsidR="00531E1B" w:rsidRPr="009E3580" w:rsidRDefault="00531E1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Cash Outflows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2AF87" w14:textId="7B331847" w:rsidR="00531E1B" w:rsidRPr="009E3580" w:rsidRDefault="00531E1B" w:rsidP="00A605C5">
            <w:pPr>
              <w:jc w:val="center"/>
              <w:rPr>
                <w:rFonts w:ascii="Century Gothic" w:hAnsi="Century Gothic" w:cs="Calibri"/>
                <w:b/>
                <w:bCs/>
                <w:sz w:val="20"/>
                <w:szCs w:val="20"/>
                <w:lang w:val="en-IN" w:eastAsia="en-IN" w:bidi="hi-IN"/>
              </w:rPr>
            </w:pPr>
          </w:p>
        </w:tc>
        <w:tc>
          <w:tcPr>
            <w:tcW w:w="881" w:type="pct"/>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5B74AD80" w14:textId="17DD9D6D" w:rsidR="00531E1B" w:rsidRPr="009E3580" w:rsidRDefault="00531E1B" w:rsidP="00A605C5">
            <w:pPr>
              <w:jc w:val="center"/>
              <w:rPr>
                <w:rFonts w:ascii="Century Gothic" w:hAnsi="Century Gothic" w:cs="Calibri"/>
                <w:b/>
                <w:bCs/>
                <w:sz w:val="20"/>
                <w:szCs w:val="20"/>
                <w:lang w:val="en-IN" w:eastAsia="en-IN" w:bidi="hi-IN"/>
              </w:rPr>
            </w:pPr>
          </w:p>
        </w:tc>
      </w:tr>
      <w:tr w:rsidR="00196A3B" w:rsidRPr="009E3580" w14:paraId="421D58E6" w14:textId="77777777" w:rsidTr="00140595">
        <w:trPr>
          <w:gridAfter w:val="1"/>
          <w:wAfter w:w="105" w:type="pct"/>
          <w:trHeight w:val="60"/>
        </w:trPr>
        <w:tc>
          <w:tcPr>
            <w:tcW w:w="43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E9D3D1F"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2</w:t>
            </w:r>
          </w:p>
        </w:tc>
        <w:tc>
          <w:tcPr>
            <w:tcW w:w="2618" w:type="pct"/>
            <w:tcBorders>
              <w:top w:val="single" w:sz="4" w:space="0" w:color="auto"/>
              <w:left w:val="nil"/>
              <w:bottom w:val="single" w:sz="8" w:space="0" w:color="auto"/>
              <w:right w:val="single" w:sz="8" w:space="0" w:color="auto"/>
            </w:tcBorders>
            <w:shd w:val="clear" w:color="auto" w:fill="auto"/>
            <w:vAlign w:val="center"/>
            <w:hideMark/>
          </w:tcPr>
          <w:p w14:paraId="313E9239"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Retails Deposit and deposits from small business customers, of which</w:t>
            </w:r>
          </w:p>
        </w:tc>
        <w:tc>
          <w:tcPr>
            <w:tcW w:w="966" w:type="pct"/>
            <w:tcBorders>
              <w:top w:val="single" w:sz="4" w:space="0" w:color="auto"/>
              <w:left w:val="nil"/>
              <w:bottom w:val="single" w:sz="8" w:space="0" w:color="auto"/>
              <w:right w:val="single" w:sz="8" w:space="0" w:color="auto"/>
            </w:tcBorders>
            <w:shd w:val="clear" w:color="auto" w:fill="auto"/>
            <w:hideMark/>
          </w:tcPr>
          <w:p w14:paraId="487C64E1" w14:textId="2EC05387" w:rsidR="00196A3B" w:rsidRPr="00196A3B" w:rsidRDefault="00196A3B" w:rsidP="00020568">
            <w:pPr>
              <w:jc w:val="center"/>
              <w:rPr>
                <w:rFonts w:ascii="Century Gothic" w:hAnsi="Century Gothic" w:cs="Calibri"/>
              </w:rPr>
            </w:pPr>
            <w:r w:rsidRPr="00196A3B">
              <w:rPr>
                <w:rFonts w:ascii="Century Gothic" w:hAnsi="Century Gothic" w:cs="Calibri"/>
              </w:rPr>
              <w:t xml:space="preserve"> 1,88,716.35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6736F336" w14:textId="7AFDC69A" w:rsidR="00196A3B" w:rsidRPr="00196A3B" w:rsidRDefault="00196A3B" w:rsidP="00020568">
            <w:pPr>
              <w:jc w:val="center"/>
              <w:rPr>
                <w:rFonts w:ascii="Century Gothic" w:hAnsi="Century Gothic" w:cs="Calibri"/>
              </w:rPr>
            </w:pPr>
            <w:r w:rsidRPr="00196A3B">
              <w:rPr>
                <w:rFonts w:ascii="Century Gothic" w:hAnsi="Century Gothic" w:cs="Calibri"/>
              </w:rPr>
              <w:t xml:space="preserve"> 17,627.05 </w:t>
            </w:r>
          </w:p>
        </w:tc>
      </w:tr>
      <w:tr w:rsidR="00196A3B" w:rsidRPr="009E3580" w14:paraId="115C4FD0" w14:textId="77777777" w:rsidTr="00140595">
        <w:trPr>
          <w:gridAfter w:val="1"/>
          <w:wAfter w:w="105" w:type="pct"/>
          <w:trHeight w:val="555"/>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AE85A2D"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3ED85C65"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Stable Deposit</w:t>
            </w:r>
          </w:p>
        </w:tc>
        <w:tc>
          <w:tcPr>
            <w:tcW w:w="966" w:type="pct"/>
            <w:tcBorders>
              <w:top w:val="nil"/>
              <w:left w:val="nil"/>
              <w:bottom w:val="single" w:sz="8" w:space="0" w:color="auto"/>
              <w:right w:val="single" w:sz="8" w:space="0" w:color="auto"/>
            </w:tcBorders>
            <w:shd w:val="clear" w:color="auto" w:fill="auto"/>
            <w:hideMark/>
          </w:tcPr>
          <w:p w14:paraId="0D5D65B0" w14:textId="61C92011" w:rsidR="00196A3B" w:rsidRPr="00196A3B" w:rsidRDefault="00196A3B" w:rsidP="00020568">
            <w:pPr>
              <w:jc w:val="center"/>
              <w:rPr>
                <w:rFonts w:ascii="Century Gothic" w:hAnsi="Century Gothic" w:cs="Calibri"/>
              </w:rPr>
            </w:pPr>
            <w:r w:rsidRPr="00196A3B">
              <w:rPr>
                <w:rFonts w:ascii="Century Gothic" w:hAnsi="Century Gothic" w:cs="Calibri"/>
              </w:rPr>
              <w:t xml:space="preserve"> 24,891.68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5312BFFE" w14:textId="5F2DB846" w:rsidR="00196A3B" w:rsidRPr="00196A3B" w:rsidRDefault="00196A3B" w:rsidP="00020568">
            <w:pPr>
              <w:jc w:val="center"/>
              <w:rPr>
                <w:rFonts w:ascii="Century Gothic" w:hAnsi="Century Gothic" w:cs="Calibri"/>
              </w:rPr>
            </w:pPr>
            <w:r w:rsidRPr="00196A3B">
              <w:rPr>
                <w:rFonts w:ascii="Century Gothic" w:hAnsi="Century Gothic" w:cs="Calibri"/>
              </w:rPr>
              <w:t xml:space="preserve"> 1,244.58 </w:t>
            </w:r>
          </w:p>
        </w:tc>
      </w:tr>
      <w:tr w:rsidR="00196A3B" w:rsidRPr="009E3580" w14:paraId="2D880D7C" w14:textId="77777777" w:rsidTr="00140595">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6E9E8E"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hideMark/>
          </w:tcPr>
          <w:p w14:paraId="37C565B5"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Less Stable Deposit</w:t>
            </w:r>
          </w:p>
        </w:tc>
        <w:tc>
          <w:tcPr>
            <w:tcW w:w="966" w:type="pct"/>
            <w:tcBorders>
              <w:top w:val="nil"/>
              <w:left w:val="nil"/>
              <w:bottom w:val="single" w:sz="8" w:space="0" w:color="auto"/>
              <w:right w:val="single" w:sz="8" w:space="0" w:color="auto"/>
            </w:tcBorders>
            <w:shd w:val="clear" w:color="auto" w:fill="auto"/>
            <w:hideMark/>
          </w:tcPr>
          <w:p w14:paraId="2ADBAC78" w14:textId="31440D2F" w:rsidR="00196A3B" w:rsidRPr="00196A3B" w:rsidRDefault="00196A3B" w:rsidP="00020568">
            <w:pPr>
              <w:jc w:val="center"/>
              <w:rPr>
                <w:rFonts w:ascii="Century Gothic" w:hAnsi="Century Gothic" w:cs="Calibri"/>
              </w:rPr>
            </w:pPr>
            <w:r w:rsidRPr="00196A3B">
              <w:rPr>
                <w:rFonts w:ascii="Century Gothic" w:hAnsi="Century Gothic" w:cs="Calibri"/>
              </w:rPr>
              <w:t xml:space="preserve"> 1,63,824.67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487437A8" w14:textId="005AD8F3" w:rsidR="00196A3B" w:rsidRPr="00196A3B" w:rsidRDefault="00196A3B" w:rsidP="00020568">
            <w:pPr>
              <w:jc w:val="center"/>
              <w:rPr>
                <w:rFonts w:ascii="Century Gothic" w:hAnsi="Century Gothic" w:cs="Calibri"/>
              </w:rPr>
            </w:pPr>
            <w:r w:rsidRPr="00196A3B">
              <w:rPr>
                <w:rFonts w:ascii="Century Gothic" w:hAnsi="Century Gothic" w:cs="Calibri"/>
              </w:rPr>
              <w:t xml:space="preserve"> 16,382.47 </w:t>
            </w:r>
          </w:p>
        </w:tc>
      </w:tr>
      <w:tr w:rsidR="00196A3B" w:rsidRPr="009E3580" w14:paraId="2021F6F4" w14:textId="77777777" w:rsidTr="00140595">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77A25A3"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3</w:t>
            </w:r>
          </w:p>
        </w:tc>
        <w:tc>
          <w:tcPr>
            <w:tcW w:w="2618" w:type="pct"/>
            <w:tcBorders>
              <w:top w:val="nil"/>
              <w:left w:val="nil"/>
              <w:bottom w:val="single" w:sz="8" w:space="0" w:color="auto"/>
              <w:right w:val="single" w:sz="8" w:space="0" w:color="auto"/>
            </w:tcBorders>
            <w:shd w:val="clear" w:color="auto" w:fill="auto"/>
            <w:vAlign w:val="center"/>
            <w:hideMark/>
          </w:tcPr>
          <w:p w14:paraId="0402C505"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Unsecured Wholesale Funding, of which</w:t>
            </w:r>
          </w:p>
        </w:tc>
        <w:tc>
          <w:tcPr>
            <w:tcW w:w="966" w:type="pct"/>
            <w:tcBorders>
              <w:top w:val="nil"/>
              <w:left w:val="nil"/>
              <w:bottom w:val="single" w:sz="8" w:space="0" w:color="auto"/>
              <w:right w:val="single" w:sz="8" w:space="0" w:color="auto"/>
            </w:tcBorders>
            <w:shd w:val="clear" w:color="auto" w:fill="auto"/>
            <w:hideMark/>
          </w:tcPr>
          <w:p w14:paraId="794D0C62" w14:textId="44B97A34" w:rsidR="00196A3B" w:rsidRPr="00196A3B" w:rsidRDefault="00196A3B" w:rsidP="00020568">
            <w:pPr>
              <w:jc w:val="center"/>
              <w:rPr>
                <w:rFonts w:ascii="Century Gothic" w:hAnsi="Century Gothic" w:cs="Calibri"/>
              </w:rPr>
            </w:pPr>
            <w:r w:rsidRPr="00196A3B">
              <w:rPr>
                <w:rFonts w:ascii="Century Gothic" w:hAnsi="Century Gothic" w:cs="Calibri"/>
              </w:rPr>
              <w:t xml:space="preserve"> 97,178.04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1BE0F4F4" w14:textId="6D7C6C8D" w:rsidR="00196A3B" w:rsidRPr="00196A3B" w:rsidRDefault="00196A3B" w:rsidP="00020568">
            <w:pPr>
              <w:jc w:val="center"/>
              <w:rPr>
                <w:rFonts w:ascii="Century Gothic" w:hAnsi="Century Gothic" w:cs="Calibri"/>
              </w:rPr>
            </w:pPr>
            <w:r w:rsidRPr="00196A3B">
              <w:rPr>
                <w:rFonts w:ascii="Century Gothic" w:hAnsi="Century Gothic" w:cs="Calibri"/>
              </w:rPr>
              <w:t xml:space="preserve"> 41,173.31 </w:t>
            </w:r>
          </w:p>
        </w:tc>
      </w:tr>
      <w:tr w:rsidR="00196A3B" w:rsidRPr="009E3580" w14:paraId="64B1A040" w14:textId="77777777" w:rsidTr="00140595">
        <w:trPr>
          <w:gridAfter w:val="1"/>
          <w:wAfter w:w="105" w:type="pct"/>
          <w:trHeight w:val="6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20BBEF7"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27A9D8C8"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Operational Deposits     ( All Counterparties )</w:t>
            </w:r>
          </w:p>
        </w:tc>
        <w:tc>
          <w:tcPr>
            <w:tcW w:w="966" w:type="pct"/>
            <w:tcBorders>
              <w:top w:val="nil"/>
              <w:left w:val="nil"/>
              <w:bottom w:val="single" w:sz="8" w:space="0" w:color="auto"/>
              <w:right w:val="single" w:sz="8" w:space="0" w:color="auto"/>
            </w:tcBorders>
            <w:shd w:val="clear" w:color="auto" w:fill="auto"/>
            <w:hideMark/>
          </w:tcPr>
          <w:p w14:paraId="39EE3C56" w14:textId="444D1273" w:rsidR="00196A3B" w:rsidRPr="00196A3B" w:rsidRDefault="00196A3B" w:rsidP="00A605C5">
            <w:pPr>
              <w:jc w:val="center"/>
              <w:rPr>
                <w:rFonts w:ascii="Century Gothic" w:hAnsi="Century Gothic" w:cs="Calibri"/>
              </w:rPr>
            </w:pP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038D7441" w14:textId="5BC9A35D" w:rsidR="00196A3B" w:rsidRPr="00196A3B" w:rsidRDefault="00196A3B" w:rsidP="00A605C5">
            <w:pPr>
              <w:jc w:val="center"/>
              <w:rPr>
                <w:rFonts w:ascii="Century Gothic" w:hAnsi="Century Gothic" w:cs="Calibri"/>
              </w:rPr>
            </w:pPr>
          </w:p>
        </w:tc>
      </w:tr>
      <w:tr w:rsidR="00196A3B" w:rsidRPr="009E3580" w14:paraId="11EDEFE1" w14:textId="77777777" w:rsidTr="00140595">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tcPr>
          <w:p w14:paraId="724E51BD" w14:textId="6316DBA2" w:rsidR="00196A3B" w:rsidRPr="009E3580" w:rsidRDefault="00196A3B"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tcPr>
          <w:p w14:paraId="577936F4"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xml:space="preserve">Non- Operational Deposits </w:t>
            </w:r>
          </w:p>
          <w:p w14:paraId="41A2BEBD" w14:textId="603E1930" w:rsidR="00196A3B" w:rsidRPr="009E3580" w:rsidRDefault="00196A3B"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 All Counterparties )</w:t>
            </w:r>
          </w:p>
        </w:tc>
        <w:tc>
          <w:tcPr>
            <w:tcW w:w="966" w:type="pct"/>
            <w:tcBorders>
              <w:top w:val="nil"/>
              <w:left w:val="nil"/>
              <w:bottom w:val="single" w:sz="8" w:space="0" w:color="auto"/>
              <w:right w:val="single" w:sz="8" w:space="0" w:color="auto"/>
            </w:tcBorders>
            <w:shd w:val="clear" w:color="auto" w:fill="auto"/>
          </w:tcPr>
          <w:p w14:paraId="1B7C34E6" w14:textId="6AC81385" w:rsidR="00196A3B" w:rsidRPr="00196A3B" w:rsidRDefault="00196A3B" w:rsidP="00D86A07">
            <w:pPr>
              <w:jc w:val="center"/>
              <w:rPr>
                <w:rFonts w:ascii="Century Gothic" w:hAnsi="Century Gothic" w:cs="Calibri"/>
              </w:rPr>
            </w:pPr>
            <w:r w:rsidRPr="00196A3B">
              <w:rPr>
                <w:rFonts w:ascii="Century Gothic" w:hAnsi="Century Gothic" w:cs="Calibri"/>
              </w:rPr>
              <w:t xml:space="preserve"> 97,178.04 </w:t>
            </w:r>
          </w:p>
        </w:tc>
        <w:tc>
          <w:tcPr>
            <w:tcW w:w="881" w:type="pct"/>
            <w:gridSpan w:val="5"/>
            <w:tcBorders>
              <w:top w:val="single" w:sz="8" w:space="0" w:color="auto"/>
              <w:left w:val="nil"/>
              <w:bottom w:val="single" w:sz="8" w:space="0" w:color="auto"/>
              <w:right w:val="single" w:sz="8" w:space="0" w:color="000000"/>
            </w:tcBorders>
            <w:shd w:val="clear" w:color="auto" w:fill="auto"/>
          </w:tcPr>
          <w:p w14:paraId="0706260A" w14:textId="10056978" w:rsidR="00196A3B" w:rsidRPr="00196A3B" w:rsidRDefault="00196A3B" w:rsidP="00385081">
            <w:pPr>
              <w:jc w:val="center"/>
              <w:rPr>
                <w:rFonts w:ascii="Century Gothic" w:hAnsi="Century Gothic" w:cs="Calibri"/>
              </w:rPr>
            </w:pPr>
            <w:r w:rsidRPr="00196A3B">
              <w:rPr>
                <w:rFonts w:ascii="Century Gothic" w:hAnsi="Century Gothic" w:cs="Calibri"/>
              </w:rPr>
              <w:t xml:space="preserve"> 41,173.31 </w:t>
            </w:r>
          </w:p>
        </w:tc>
      </w:tr>
      <w:tr w:rsidR="00692D81" w:rsidRPr="009E3580" w14:paraId="2340F4A0"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37224F29"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(iii)</w:t>
            </w:r>
          </w:p>
        </w:tc>
        <w:tc>
          <w:tcPr>
            <w:tcW w:w="2618" w:type="pct"/>
            <w:tcBorders>
              <w:top w:val="nil"/>
              <w:left w:val="nil"/>
              <w:bottom w:val="single" w:sz="8" w:space="0" w:color="auto"/>
              <w:right w:val="single" w:sz="8" w:space="0" w:color="auto"/>
            </w:tcBorders>
            <w:shd w:val="clear" w:color="auto" w:fill="auto"/>
            <w:vAlign w:val="center"/>
            <w:hideMark/>
          </w:tcPr>
          <w:p w14:paraId="3A43A020"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Unsecured Debt</w:t>
            </w:r>
          </w:p>
        </w:tc>
        <w:tc>
          <w:tcPr>
            <w:tcW w:w="966" w:type="pct"/>
            <w:tcBorders>
              <w:top w:val="nil"/>
              <w:left w:val="nil"/>
              <w:bottom w:val="single" w:sz="8" w:space="0" w:color="auto"/>
              <w:right w:val="single" w:sz="8" w:space="0" w:color="auto"/>
            </w:tcBorders>
            <w:shd w:val="clear" w:color="auto" w:fill="auto"/>
            <w:vAlign w:val="center"/>
            <w:hideMark/>
          </w:tcPr>
          <w:p w14:paraId="4F62C95C" w14:textId="7B3F2923" w:rsidR="00692D81" w:rsidRPr="000856AD" w:rsidRDefault="00692D81" w:rsidP="00385D30">
            <w:pPr>
              <w:jc w:val="center"/>
              <w:rPr>
                <w:rFonts w:ascii="Century Gothic" w:hAnsi="Century Gothic" w:cs="Calibri"/>
                <w:lang w:val="en-IN" w:eastAsia="en-IN" w:bidi="hi-IN"/>
              </w:rPr>
            </w:pPr>
            <w:r w:rsidRPr="000856AD">
              <w:rPr>
                <w:rFonts w:ascii="Century Gothic" w:hAnsi="Century Gothic" w:cs="Calibri"/>
              </w:rPr>
              <w:t>-</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1BD3B12E" w14:textId="411A1FF2" w:rsidR="00692D81" w:rsidRPr="000856AD" w:rsidRDefault="00692D81" w:rsidP="00385D30">
            <w:pPr>
              <w:jc w:val="center"/>
              <w:rPr>
                <w:rFonts w:ascii="Century Gothic" w:hAnsi="Century Gothic" w:cs="Calibri"/>
                <w:lang w:val="en-IN" w:eastAsia="en-IN" w:bidi="hi-IN"/>
              </w:rPr>
            </w:pPr>
            <w:r w:rsidRPr="000856AD">
              <w:rPr>
                <w:rFonts w:ascii="Century Gothic" w:hAnsi="Century Gothic" w:cs="Calibri"/>
              </w:rPr>
              <w:t>-</w:t>
            </w:r>
          </w:p>
        </w:tc>
      </w:tr>
      <w:tr w:rsidR="00692D81" w:rsidRPr="009E3580" w14:paraId="61A9392B"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0DF55979"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4</w:t>
            </w:r>
          </w:p>
        </w:tc>
        <w:tc>
          <w:tcPr>
            <w:tcW w:w="2618" w:type="pct"/>
            <w:tcBorders>
              <w:top w:val="nil"/>
              <w:left w:val="nil"/>
              <w:bottom w:val="single" w:sz="8" w:space="0" w:color="auto"/>
              <w:right w:val="single" w:sz="8" w:space="0" w:color="auto"/>
            </w:tcBorders>
            <w:shd w:val="clear" w:color="auto" w:fill="auto"/>
            <w:vAlign w:val="center"/>
            <w:hideMark/>
          </w:tcPr>
          <w:p w14:paraId="1876250A"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Secured Wholesale Funding</w:t>
            </w:r>
          </w:p>
        </w:tc>
        <w:tc>
          <w:tcPr>
            <w:tcW w:w="966" w:type="pct"/>
            <w:tcBorders>
              <w:top w:val="nil"/>
              <w:left w:val="nil"/>
              <w:bottom w:val="single" w:sz="8" w:space="0" w:color="auto"/>
              <w:right w:val="single" w:sz="8" w:space="0" w:color="auto"/>
            </w:tcBorders>
            <w:shd w:val="clear" w:color="000000" w:fill="000000"/>
            <w:vAlign w:val="center"/>
            <w:hideMark/>
          </w:tcPr>
          <w:p w14:paraId="0777BF50" w14:textId="26CC3F40" w:rsidR="00692D81" w:rsidRPr="009E3580" w:rsidRDefault="00692D81" w:rsidP="00385D30">
            <w:pPr>
              <w:jc w:val="center"/>
              <w:rPr>
                <w:rFonts w:ascii="Century Gothic" w:hAnsi="Century Gothic" w:cs="Calibri"/>
                <w:sz w:val="20"/>
                <w:szCs w:val="20"/>
                <w:lang w:val="en-IN" w:eastAsia="en-IN" w:bidi="hi-IN"/>
              </w:rPr>
            </w:pP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17F308E7" w14:textId="0365E703" w:rsidR="00692D81" w:rsidRPr="009E3580" w:rsidRDefault="00692D81" w:rsidP="00385D30">
            <w:pPr>
              <w:jc w:val="center"/>
              <w:rPr>
                <w:rFonts w:ascii="Century Gothic" w:hAnsi="Century Gothic" w:cs="Calibri"/>
                <w:sz w:val="20"/>
                <w:szCs w:val="20"/>
                <w:lang w:val="en-IN" w:eastAsia="en-IN" w:bidi="hi-IN"/>
              </w:rPr>
            </w:pPr>
            <w:r>
              <w:rPr>
                <w:rFonts w:ascii="Century Gothic" w:hAnsi="Century Gothic" w:cs="Calibri"/>
                <w:color w:val="000000"/>
              </w:rPr>
              <w:t>-</w:t>
            </w:r>
          </w:p>
        </w:tc>
      </w:tr>
      <w:tr w:rsidR="00196A3B" w:rsidRPr="009E3580" w14:paraId="5BA25ABC" w14:textId="77777777" w:rsidTr="00C02CD5">
        <w:trPr>
          <w:gridAfter w:val="1"/>
          <w:wAfter w:w="105" w:type="pct"/>
          <w:trHeight w:val="14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340309C1"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5</w:t>
            </w:r>
          </w:p>
        </w:tc>
        <w:tc>
          <w:tcPr>
            <w:tcW w:w="2618" w:type="pct"/>
            <w:tcBorders>
              <w:top w:val="nil"/>
              <w:left w:val="nil"/>
              <w:bottom w:val="single" w:sz="8" w:space="0" w:color="auto"/>
              <w:right w:val="single" w:sz="8" w:space="0" w:color="auto"/>
            </w:tcBorders>
            <w:shd w:val="clear" w:color="auto" w:fill="auto"/>
            <w:vAlign w:val="center"/>
            <w:hideMark/>
          </w:tcPr>
          <w:p w14:paraId="7399F080"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Additional Requirements, of Which</w:t>
            </w:r>
          </w:p>
        </w:tc>
        <w:tc>
          <w:tcPr>
            <w:tcW w:w="966" w:type="pct"/>
            <w:tcBorders>
              <w:top w:val="nil"/>
              <w:left w:val="nil"/>
              <w:bottom w:val="single" w:sz="8" w:space="0" w:color="auto"/>
              <w:right w:val="single" w:sz="8" w:space="0" w:color="auto"/>
            </w:tcBorders>
            <w:shd w:val="clear" w:color="auto" w:fill="auto"/>
            <w:hideMark/>
          </w:tcPr>
          <w:p w14:paraId="73AC51F6" w14:textId="2118829A" w:rsidR="00196A3B" w:rsidRPr="00196A3B" w:rsidRDefault="00196A3B" w:rsidP="00A36543">
            <w:pPr>
              <w:jc w:val="center"/>
              <w:rPr>
                <w:rFonts w:ascii="Century Gothic" w:hAnsi="Century Gothic" w:cs="Calibri"/>
              </w:rPr>
            </w:pPr>
            <w:r w:rsidRPr="00196A3B">
              <w:rPr>
                <w:rFonts w:ascii="Century Gothic" w:hAnsi="Century Gothic" w:cs="Calibri"/>
              </w:rPr>
              <w:t xml:space="preserve"> 34,109.44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34D14720" w14:textId="5CE92F59" w:rsidR="00196A3B" w:rsidRPr="00196A3B" w:rsidRDefault="00196A3B" w:rsidP="00A36543">
            <w:pPr>
              <w:jc w:val="center"/>
              <w:rPr>
                <w:rFonts w:ascii="Century Gothic" w:hAnsi="Century Gothic" w:cs="Calibri"/>
              </w:rPr>
            </w:pPr>
            <w:r w:rsidRPr="00196A3B">
              <w:rPr>
                <w:rFonts w:ascii="Century Gothic" w:hAnsi="Century Gothic" w:cs="Calibri"/>
              </w:rPr>
              <w:t xml:space="preserve"> 4,554.73 </w:t>
            </w:r>
          </w:p>
        </w:tc>
      </w:tr>
      <w:tr w:rsidR="00196A3B" w:rsidRPr="009E3580" w14:paraId="0FA61633" w14:textId="77777777" w:rsidTr="00C02CD5">
        <w:trPr>
          <w:gridAfter w:val="1"/>
          <w:wAfter w:w="105" w:type="pct"/>
          <w:trHeight w:val="126"/>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E7FBC67"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056BC105"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Outflows related to derivative exposures and other Collateral Requirements</w:t>
            </w:r>
          </w:p>
        </w:tc>
        <w:tc>
          <w:tcPr>
            <w:tcW w:w="966" w:type="pct"/>
            <w:tcBorders>
              <w:top w:val="nil"/>
              <w:left w:val="nil"/>
              <w:bottom w:val="single" w:sz="8" w:space="0" w:color="auto"/>
              <w:right w:val="single" w:sz="8" w:space="0" w:color="auto"/>
            </w:tcBorders>
            <w:shd w:val="clear" w:color="auto" w:fill="auto"/>
            <w:hideMark/>
          </w:tcPr>
          <w:p w14:paraId="11D88B33" w14:textId="04516BB6" w:rsidR="00196A3B" w:rsidRPr="00196A3B" w:rsidRDefault="00196A3B" w:rsidP="00A36543">
            <w:pPr>
              <w:jc w:val="center"/>
              <w:rPr>
                <w:rFonts w:ascii="Century Gothic" w:hAnsi="Century Gothic" w:cs="Calibri"/>
              </w:rPr>
            </w:pPr>
            <w:r w:rsidRPr="00196A3B">
              <w:rPr>
                <w:rFonts w:ascii="Century Gothic" w:hAnsi="Century Gothic" w:cs="Calibri"/>
              </w:rPr>
              <w:t xml:space="preserve"> 88.54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3B60E7B6" w14:textId="3A29AC4F" w:rsidR="00196A3B" w:rsidRPr="00196A3B" w:rsidRDefault="00196A3B" w:rsidP="00A36543">
            <w:pPr>
              <w:jc w:val="center"/>
              <w:rPr>
                <w:rFonts w:ascii="Century Gothic" w:hAnsi="Century Gothic" w:cs="Calibri"/>
              </w:rPr>
            </w:pPr>
            <w:r w:rsidRPr="00196A3B">
              <w:rPr>
                <w:rFonts w:ascii="Century Gothic" w:hAnsi="Century Gothic" w:cs="Calibri"/>
              </w:rPr>
              <w:t xml:space="preserve"> 88.54 </w:t>
            </w:r>
          </w:p>
        </w:tc>
      </w:tr>
      <w:tr w:rsidR="00196A3B" w:rsidRPr="009E3580" w14:paraId="4BD7A3AD" w14:textId="77777777" w:rsidTr="00C02CD5">
        <w:trPr>
          <w:gridAfter w:val="1"/>
          <w:wAfter w:w="105" w:type="pct"/>
          <w:trHeight w:val="19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1AE5746"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hideMark/>
          </w:tcPr>
          <w:p w14:paraId="485713D6"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Outflows related to loss of funding on debt Products</w:t>
            </w:r>
          </w:p>
        </w:tc>
        <w:tc>
          <w:tcPr>
            <w:tcW w:w="966" w:type="pct"/>
            <w:tcBorders>
              <w:top w:val="nil"/>
              <w:left w:val="nil"/>
              <w:bottom w:val="single" w:sz="8" w:space="0" w:color="auto"/>
              <w:right w:val="single" w:sz="8" w:space="0" w:color="auto"/>
            </w:tcBorders>
            <w:shd w:val="clear" w:color="auto" w:fill="auto"/>
            <w:hideMark/>
          </w:tcPr>
          <w:p w14:paraId="4FA0D8E0" w14:textId="0565C542" w:rsidR="00196A3B" w:rsidRPr="00196A3B" w:rsidRDefault="00196A3B" w:rsidP="00D86A07">
            <w:pPr>
              <w:jc w:val="center"/>
              <w:rPr>
                <w:rFonts w:ascii="Century Gothic" w:hAnsi="Century Gothic" w:cs="Calibri"/>
              </w:rPr>
            </w:pP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68ACE4EF" w14:textId="2C4D2AA0" w:rsidR="00196A3B" w:rsidRPr="00196A3B" w:rsidRDefault="00196A3B" w:rsidP="00D86A07">
            <w:pPr>
              <w:jc w:val="center"/>
              <w:rPr>
                <w:rFonts w:ascii="Century Gothic" w:hAnsi="Century Gothic" w:cs="Calibri"/>
              </w:rPr>
            </w:pPr>
          </w:p>
        </w:tc>
      </w:tr>
      <w:tr w:rsidR="00196A3B" w:rsidRPr="009E3580" w14:paraId="4BC22C2B" w14:textId="77777777" w:rsidTr="00C02CD5">
        <w:trPr>
          <w:gridAfter w:val="1"/>
          <w:wAfter w:w="105" w:type="pct"/>
          <w:trHeight w:val="152"/>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2AAF118B"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(iii)</w:t>
            </w:r>
          </w:p>
        </w:tc>
        <w:tc>
          <w:tcPr>
            <w:tcW w:w="2618" w:type="pct"/>
            <w:tcBorders>
              <w:top w:val="nil"/>
              <w:left w:val="nil"/>
              <w:bottom w:val="single" w:sz="8" w:space="0" w:color="auto"/>
              <w:right w:val="single" w:sz="8" w:space="0" w:color="auto"/>
            </w:tcBorders>
            <w:shd w:val="clear" w:color="auto" w:fill="auto"/>
            <w:vAlign w:val="center"/>
            <w:hideMark/>
          </w:tcPr>
          <w:p w14:paraId="1940D857"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Credit and Liquidity facilities</w:t>
            </w:r>
          </w:p>
        </w:tc>
        <w:tc>
          <w:tcPr>
            <w:tcW w:w="966" w:type="pct"/>
            <w:tcBorders>
              <w:top w:val="nil"/>
              <w:left w:val="nil"/>
              <w:bottom w:val="single" w:sz="8" w:space="0" w:color="auto"/>
              <w:right w:val="single" w:sz="8" w:space="0" w:color="auto"/>
            </w:tcBorders>
            <w:shd w:val="clear" w:color="auto" w:fill="auto"/>
            <w:hideMark/>
          </w:tcPr>
          <w:p w14:paraId="67B84916" w14:textId="5E8ECB95" w:rsidR="00196A3B" w:rsidRPr="00196A3B" w:rsidRDefault="00196A3B" w:rsidP="00031BC9">
            <w:pPr>
              <w:jc w:val="center"/>
              <w:rPr>
                <w:rFonts w:ascii="Century Gothic" w:hAnsi="Century Gothic" w:cs="Calibri"/>
              </w:rPr>
            </w:pPr>
            <w:r w:rsidRPr="00196A3B">
              <w:rPr>
                <w:rFonts w:ascii="Century Gothic" w:hAnsi="Century Gothic" w:cs="Calibri"/>
              </w:rPr>
              <w:t xml:space="preserve"> 34,020.90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23D8B5C6" w14:textId="4F2DB18F" w:rsidR="00196A3B" w:rsidRPr="00196A3B" w:rsidRDefault="00196A3B" w:rsidP="00031BC9">
            <w:pPr>
              <w:jc w:val="center"/>
              <w:rPr>
                <w:rFonts w:ascii="Century Gothic" w:hAnsi="Century Gothic" w:cs="Calibri"/>
              </w:rPr>
            </w:pPr>
            <w:r w:rsidRPr="00196A3B">
              <w:rPr>
                <w:rFonts w:ascii="Century Gothic" w:hAnsi="Century Gothic" w:cs="Calibri"/>
              </w:rPr>
              <w:t xml:space="preserve"> 4,466.19 </w:t>
            </w:r>
          </w:p>
        </w:tc>
      </w:tr>
      <w:tr w:rsidR="00196A3B" w:rsidRPr="009E3580" w14:paraId="654A3D77" w14:textId="77777777" w:rsidTr="00C02CD5">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3255325"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6</w:t>
            </w:r>
          </w:p>
        </w:tc>
        <w:tc>
          <w:tcPr>
            <w:tcW w:w="2618" w:type="pct"/>
            <w:tcBorders>
              <w:top w:val="nil"/>
              <w:left w:val="nil"/>
              <w:bottom w:val="single" w:sz="8" w:space="0" w:color="auto"/>
              <w:right w:val="single" w:sz="8" w:space="0" w:color="auto"/>
            </w:tcBorders>
            <w:shd w:val="clear" w:color="auto" w:fill="auto"/>
            <w:vAlign w:val="center"/>
            <w:hideMark/>
          </w:tcPr>
          <w:p w14:paraId="79F3B75C"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Contractual funding Obligations</w:t>
            </w:r>
          </w:p>
        </w:tc>
        <w:tc>
          <w:tcPr>
            <w:tcW w:w="966" w:type="pct"/>
            <w:tcBorders>
              <w:top w:val="nil"/>
              <w:left w:val="nil"/>
              <w:bottom w:val="single" w:sz="8" w:space="0" w:color="auto"/>
              <w:right w:val="single" w:sz="8" w:space="0" w:color="auto"/>
            </w:tcBorders>
            <w:shd w:val="clear" w:color="auto" w:fill="auto"/>
            <w:hideMark/>
          </w:tcPr>
          <w:p w14:paraId="15CE4D78" w14:textId="01BEA62E" w:rsidR="00196A3B" w:rsidRPr="00196A3B" w:rsidRDefault="00196A3B" w:rsidP="00031BC9">
            <w:pPr>
              <w:jc w:val="center"/>
              <w:rPr>
                <w:rFonts w:ascii="Century Gothic" w:hAnsi="Century Gothic" w:cs="Calibri"/>
              </w:rPr>
            </w:pPr>
            <w:r w:rsidRPr="00196A3B">
              <w:rPr>
                <w:rFonts w:ascii="Century Gothic" w:hAnsi="Century Gothic" w:cs="Calibri"/>
              </w:rPr>
              <w:t xml:space="preserve"> 2,015.20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267EB09D" w14:textId="544E021C" w:rsidR="00196A3B" w:rsidRPr="00196A3B" w:rsidRDefault="00196A3B" w:rsidP="00031BC9">
            <w:pPr>
              <w:jc w:val="center"/>
              <w:rPr>
                <w:rFonts w:ascii="Century Gothic" w:hAnsi="Century Gothic" w:cs="Calibri"/>
              </w:rPr>
            </w:pPr>
            <w:r w:rsidRPr="00196A3B">
              <w:rPr>
                <w:rFonts w:ascii="Century Gothic" w:hAnsi="Century Gothic" w:cs="Calibri"/>
              </w:rPr>
              <w:t xml:space="preserve"> 2,015.20 </w:t>
            </w:r>
          </w:p>
        </w:tc>
      </w:tr>
      <w:tr w:rsidR="00196A3B" w:rsidRPr="009E3580" w14:paraId="4F57A39C" w14:textId="77777777" w:rsidTr="00C02CD5">
        <w:trPr>
          <w:gridAfter w:val="1"/>
          <w:wAfter w:w="105" w:type="pct"/>
          <w:trHeight w:val="60"/>
        </w:trPr>
        <w:tc>
          <w:tcPr>
            <w:tcW w:w="430" w:type="pct"/>
            <w:tcBorders>
              <w:top w:val="nil"/>
              <w:left w:val="single" w:sz="8" w:space="0" w:color="auto"/>
              <w:bottom w:val="single" w:sz="4" w:space="0" w:color="auto"/>
              <w:right w:val="single" w:sz="8" w:space="0" w:color="auto"/>
            </w:tcBorders>
            <w:shd w:val="clear" w:color="auto" w:fill="auto"/>
            <w:noWrap/>
            <w:vAlign w:val="center"/>
            <w:hideMark/>
          </w:tcPr>
          <w:p w14:paraId="6C24F48A"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7</w:t>
            </w:r>
          </w:p>
        </w:tc>
        <w:tc>
          <w:tcPr>
            <w:tcW w:w="2618" w:type="pct"/>
            <w:tcBorders>
              <w:top w:val="nil"/>
              <w:left w:val="nil"/>
              <w:bottom w:val="single" w:sz="4" w:space="0" w:color="auto"/>
              <w:right w:val="single" w:sz="8" w:space="0" w:color="auto"/>
            </w:tcBorders>
            <w:shd w:val="clear" w:color="auto" w:fill="auto"/>
            <w:vAlign w:val="center"/>
            <w:hideMark/>
          </w:tcPr>
          <w:p w14:paraId="60C64B11"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Contingent Funding Obligations</w:t>
            </w:r>
          </w:p>
        </w:tc>
        <w:tc>
          <w:tcPr>
            <w:tcW w:w="966" w:type="pct"/>
            <w:tcBorders>
              <w:top w:val="nil"/>
              <w:left w:val="nil"/>
              <w:bottom w:val="single" w:sz="4" w:space="0" w:color="auto"/>
              <w:right w:val="single" w:sz="8" w:space="0" w:color="auto"/>
            </w:tcBorders>
            <w:shd w:val="clear" w:color="auto" w:fill="auto"/>
            <w:hideMark/>
          </w:tcPr>
          <w:p w14:paraId="323AAB76" w14:textId="3F7AAE58" w:rsidR="00196A3B" w:rsidRPr="00196A3B" w:rsidRDefault="00196A3B" w:rsidP="00031BC9">
            <w:pPr>
              <w:jc w:val="center"/>
              <w:rPr>
                <w:rFonts w:ascii="Century Gothic" w:hAnsi="Century Gothic" w:cs="Calibri"/>
              </w:rPr>
            </w:pPr>
            <w:r w:rsidRPr="00196A3B">
              <w:rPr>
                <w:rFonts w:ascii="Century Gothic" w:hAnsi="Century Gothic" w:cs="Calibri"/>
              </w:rPr>
              <w:t xml:space="preserve"> 15,024.92 </w:t>
            </w:r>
          </w:p>
        </w:tc>
        <w:tc>
          <w:tcPr>
            <w:tcW w:w="881" w:type="pct"/>
            <w:gridSpan w:val="5"/>
            <w:tcBorders>
              <w:top w:val="single" w:sz="8" w:space="0" w:color="auto"/>
              <w:left w:val="nil"/>
              <w:bottom w:val="single" w:sz="4" w:space="0" w:color="auto"/>
              <w:right w:val="single" w:sz="8" w:space="0" w:color="000000"/>
            </w:tcBorders>
            <w:shd w:val="clear" w:color="auto" w:fill="auto"/>
            <w:hideMark/>
          </w:tcPr>
          <w:p w14:paraId="0FD09102" w14:textId="0C77DD1C" w:rsidR="00196A3B" w:rsidRPr="00196A3B" w:rsidRDefault="00196A3B" w:rsidP="00031BC9">
            <w:pPr>
              <w:jc w:val="center"/>
              <w:rPr>
                <w:rFonts w:ascii="Century Gothic" w:hAnsi="Century Gothic" w:cs="Calibri"/>
              </w:rPr>
            </w:pPr>
            <w:r w:rsidRPr="00196A3B">
              <w:rPr>
                <w:rFonts w:ascii="Century Gothic" w:hAnsi="Century Gothic" w:cs="Calibri"/>
              </w:rPr>
              <w:t xml:space="preserve"> 450.75 </w:t>
            </w:r>
          </w:p>
        </w:tc>
      </w:tr>
      <w:tr w:rsidR="00692D81" w:rsidRPr="009E3580" w14:paraId="5D3953F5" w14:textId="77777777" w:rsidTr="00DA19EB">
        <w:trPr>
          <w:gridAfter w:val="1"/>
          <w:wAfter w:w="105" w:type="pct"/>
          <w:trHeight w:val="450"/>
        </w:trPr>
        <w:tc>
          <w:tcPr>
            <w:tcW w:w="4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861D"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8</w:t>
            </w:r>
          </w:p>
        </w:tc>
        <w:tc>
          <w:tcPr>
            <w:tcW w:w="2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1FCB2"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Cash Outflows</w:t>
            </w:r>
          </w:p>
        </w:tc>
        <w:tc>
          <w:tcPr>
            <w:tcW w:w="966"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6DE823BC" w14:textId="77777777" w:rsidR="00692D81" w:rsidRPr="009E3580" w:rsidRDefault="00692D81" w:rsidP="00531E1B">
            <w:pPr>
              <w:jc w:val="center"/>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88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FD2DD" w14:textId="4655B784" w:rsidR="00692D81" w:rsidRPr="00ED0CDE" w:rsidRDefault="00196A3B" w:rsidP="00FE789A">
            <w:pPr>
              <w:jc w:val="center"/>
              <w:rPr>
                <w:rFonts w:ascii="Century Gothic" w:hAnsi="Century Gothic" w:cs="Calibri"/>
                <w:lang w:val="en-IN" w:eastAsia="en-IN" w:bidi="hi-IN"/>
              </w:rPr>
            </w:pPr>
            <w:r>
              <w:rPr>
                <w:rFonts w:ascii="Century Gothic" w:hAnsi="Century Gothic"/>
                <w:b/>
                <w:bCs/>
              </w:rPr>
              <w:t>65,821.04</w:t>
            </w:r>
          </w:p>
        </w:tc>
      </w:tr>
      <w:tr w:rsidR="00692D81" w:rsidRPr="009E3580" w14:paraId="5C756509" w14:textId="77777777" w:rsidTr="00DA19EB">
        <w:trPr>
          <w:trHeight w:val="245"/>
        </w:trPr>
        <w:tc>
          <w:tcPr>
            <w:tcW w:w="430" w:type="pct"/>
            <w:vMerge/>
            <w:tcBorders>
              <w:top w:val="single" w:sz="4" w:space="0" w:color="auto"/>
              <w:left w:val="single" w:sz="4" w:space="0" w:color="auto"/>
              <w:bottom w:val="single" w:sz="4" w:space="0" w:color="auto"/>
              <w:right w:val="single" w:sz="4" w:space="0" w:color="auto"/>
            </w:tcBorders>
            <w:vAlign w:val="center"/>
            <w:hideMark/>
          </w:tcPr>
          <w:p w14:paraId="7B56B897" w14:textId="77777777" w:rsidR="00692D81" w:rsidRPr="009E3580" w:rsidRDefault="00692D81" w:rsidP="00531E1B">
            <w:pPr>
              <w:rPr>
                <w:rFonts w:ascii="Century Gothic" w:hAnsi="Century Gothic" w:cs="Calibri"/>
                <w:sz w:val="20"/>
                <w:szCs w:val="20"/>
                <w:lang w:val="en-IN" w:eastAsia="en-IN" w:bidi="hi-IN"/>
              </w:rPr>
            </w:pPr>
          </w:p>
        </w:tc>
        <w:tc>
          <w:tcPr>
            <w:tcW w:w="2618" w:type="pct"/>
            <w:vMerge/>
            <w:tcBorders>
              <w:top w:val="single" w:sz="4" w:space="0" w:color="auto"/>
              <w:left w:val="single" w:sz="4" w:space="0" w:color="auto"/>
              <w:bottom w:val="single" w:sz="4" w:space="0" w:color="auto"/>
              <w:right w:val="single" w:sz="4" w:space="0" w:color="auto"/>
            </w:tcBorders>
            <w:vAlign w:val="center"/>
            <w:hideMark/>
          </w:tcPr>
          <w:p w14:paraId="48F469D9" w14:textId="77777777" w:rsidR="00692D81" w:rsidRPr="009E3580" w:rsidRDefault="00692D81" w:rsidP="00531E1B">
            <w:pPr>
              <w:rPr>
                <w:rFonts w:ascii="Century Gothic" w:hAnsi="Century Gothic" w:cs="Calibri"/>
                <w:b/>
                <w:bCs/>
                <w:sz w:val="20"/>
                <w:szCs w:val="20"/>
                <w:lang w:val="en-IN" w:eastAsia="en-IN" w:bidi="hi-IN"/>
              </w:rPr>
            </w:pPr>
          </w:p>
        </w:tc>
        <w:tc>
          <w:tcPr>
            <w:tcW w:w="966" w:type="pct"/>
            <w:vMerge/>
            <w:tcBorders>
              <w:top w:val="single" w:sz="4" w:space="0" w:color="auto"/>
              <w:left w:val="single" w:sz="4" w:space="0" w:color="auto"/>
              <w:bottom w:val="single" w:sz="4" w:space="0" w:color="auto"/>
              <w:right w:val="single" w:sz="4" w:space="0" w:color="auto"/>
            </w:tcBorders>
            <w:vAlign w:val="center"/>
            <w:hideMark/>
          </w:tcPr>
          <w:p w14:paraId="638D805F" w14:textId="77777777" w:rsidR="00692D81" w:rsidRPr="009E3580" w:rsidRDefault="00692D81" w:rsidP="00531E1B">
            <w:pPr>
              <w:rPr>
                <w:rFonts w:ascii="Century Gothic" w:hAnsi="Century Gothic" w:cs="Calibri"/>
                <w:sz w:val="20"/>
                <w:szCs w:val="20"/>
                <w:lang w:val="en-IN" w:eastAsia="en-IN" w:bidi="hi-IN"/>
              </w:rPr>
            </w:pPr>
          </w:p>
        </w:tc>
        <w:tc>
          <w:tcPr>
            <w:tcW w:w="881" w:type="pct"/>
            <w:gridSpan w:val="5"/>
            <w:vMerge/>
            <w:tcBorders>
              <w:top w:val="single" w:sz="4" w:space="0" w:color="auto"/>
              <w:left w:val="single" w:sz="4" w:space="0" w:color="auto"/>
              <w:bottom w:val="single" w:sz="4" w:space="0" w:color="auto"/>
              <w:right w:val="single" w:sz="4" w:space="0" w:color="auto"/>
            </w:tcBorders>
            <w:vAlign w:val="center"/>
            <w:hideMark/>
          </w:tcPr>
          <w:p w14:paraId="4682B4D9" w14:textId="77777777" w:rsidR="00692D81" w:rsidRPr="009E3580" w:rsidRDefault="00692D81" w:rsidP="00531E1B">
            <w:pPr>
              <w:rPr>
                <w:rFonts w:ascii="Century Gothic" w:hAnsi="Century Gothic" w:cs="Calibri"/>
                <w:lang w:val="en-IN" w:eastAsia="en-IN" w:bidi="hi-IN"/>
              </w:rPr>
            </w:pPr>
          </w:p>
        </w:tc>
        <w:tc>
          <w:tcPr>
            <w:tcW w:w="105" w:type="pct"/>
            <w:tcBorders>
              <w:top w:val="nil"/>
              <w:left w:val="single" w:sz="4" w:space="0" w:color="auto"/>
              <w:bottom w:val="nil"/>
              <w:right w:val="nil"/>
            </w:tcBorders>
            <w:vAlign w:val="center"/>
            <w:hideMark/>
          </w:tcPr>
          <w:p w14:paraId="1F60B7BC" w14:textId="77777777" w:rsidR="00692D81" w:rsidRPr="009E3580" w:rsidRDefault="00692D81" w:rsidP="00531E1B">
            <w:pPr>
              <w:rPr>
                <w:rFonts w:ascii="Century Gothic" w:hAnsi="Century Gothic"/>
                <w:lang w:val="en-IN" w:eastAsia="en-IN" w:bidi="hi-IN"/>
              </w:rPr>
            </w:pPr>
          </w:p>
        </w:tc>
      </w:tr>
      <w:tr w:rsidR="00692D81" w:rsidRPr="009E3580" w14:paraId="2B7C55E6" w14:textId="77777777" w:rsidTr="00DA19EB">
        <w:trPr>
          <w:gridAfter w:val="1"/>
          <w:wAfter w:w="105" w:type="pct"/>
          <w:trHeight w:val="330"/>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1FDE3"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Cash Inflows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5AB5B" w14:textId="77777777" w:rsidR="00692D81" w:rsidRPr="009E3580" w:rsidRDefault="00692D81" w:rsidP="00531E1B">
            <w:pPr>
              <w:jc w:val="right"/>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6B9D3F" w14:textId="77777777" w:rsidR="00692D81" w:rsidRPr="009E3580" w:rsidRDefault="00692D81" w:rsidP="00531E1B">
            <w:pPr>
              <w:jc w:val="right"/>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r>
      <w:tr w:rsidR="00196A3B" w:rsidRPr="009E3580" w14:paraId="592709E3" w14:textId="77777777" w:rsidTr="0003580C">
        <w:trPr>
          <w:gridAfter w:val="1"/>
          <w:wAfter w:w="105" w:type="pct"/>
          <w:trHeight w:val="6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081F2" w14:textId="51EC394D" w:rsidR="00196A3B" w:rsidRPr="009E3580" w:rsidRDefault="00196A3B"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9</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43788B3B" w14:textId="77777777" w:rsidR="00196A3B" w:rsidRPr="009E3580" w:rsidRDefault="00196A3B" w:rsidP="0022624A">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Secured Lending</w:t>
            </w:r>
          </w:p>
          <w:p w14:paraId="1C7606BE" w14:textId="02821CDF" w:rsidR="00196A3B" w:rsidRPr="009E3580" w:rsidRDefault="00196A3B" w:rsidP="0022624A">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w:t>
            </w:r>
            <w:proofErr w:type="spellStart"/>
            <w:proofErr w:type="gramStart"/>
            <w:r w:rsidRPr="009E3580">
              <w:rPr>
                <w:rFonts w:ascii="Century Gothic" w:hAnsi="Century Gothic" w:cs="Calibri"/>
                <w:sz w:val="20"/>
                <w:szCs w:val="20"/>
                <w:lang w:eastAsia="en-IN" w:bidi="hi-IN"/>
              </w:rPr>
              <w:t>eg</w:t>
            </w:r>
            <w:proofErr w:type="spellEnd"/>
            <w:proofErr w:type="gramEnd"/>
            <w:r w:rsidRPr="009E3580">
              <w:rPr>
                <w:rFonts w:ascii="Century Gothic" w:hAnsi="Century Gothic" w:cs="Calibri"/>
                <w:sz w:val="20"/>
                <w:szCs w:val="20"/>
                <w:lang w:eastAsia="en-IN" w:bidi="hi-IN"/>
              </w:rPr>
              <w:t>. Reverse Repos )</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6ED7B17" w14:textId="3A84F40F" w:rsidR="00196A3B" w:rsidRPr="00196A3B" w:rsidRDefault="00196A3B" w:rsidP="00147321">
            <w:pPr>
              <w:jc w:val="center"/>
              <w:rPr>
                <w:rFonts w:ascii="Century Gothic" w:hAnsi="Century Gothic" w:cs="Calibri"/>
              </w:rPr>
            </w:pPr>
            <w:r w:rsidRPr="00196A3B">
              <w:rPr>
                <w:rFonts w:ascii="Century Gothic" w:hAnsi="Century Gothic" w:cs="Calibri"/>
              </w:rPr>
              <w:t xml:space="preserve"> -   </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tcPr>
          <w:p w14:paraId="0F9819EB" w14:textId="511710FB" w:rsidR="00196A3B" w:rsidRPr="00196A3B" w:rsidRDefault="00196A3B" w:rsidP="00091E78">
            <w:pPr>
              <w:jc w:val="center"/>
              <w:rPr>
                <w:rFonts w:ascii="Century Gothic" w:hAnsi="Century Gothic" w:cs="Calibri"/>
              </w:rPr>
            </w:pPr>
            <w:r w:rsidRPr="00196A3B">
              <w:rPr>
                <w:rFonts w:ascii="Century Gothic" w:hAnsi="Century Gothic" w:cs="Calibri"/>
              </w:rPr>
              <w:t xml:space="preserve"> -   </w:t>
            </w:r>
          </w:p>
        </w:tc>
      </w:tr>
      <w:tr w:rsidR="00196A3B" w:rsidRPr="009E3580" w14:paraId="0147AFD5" w14:textId="77777777" w:rsidTr="009476A8">
        <w:trPr>
          <w:gridAfter w:val="1"/>
          <w:wAfter w:w="105" w:type="pct"/>
          <w:trHeight w:val="6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2FD5"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10</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2D66B"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Inflows from Fully Performing Exposures</w:t>
            </w:r>
          </w:p>
        </w:tc>
        <w:tc>
          <w:tcPr>
            <w:tcW w:w="966" w:type="pct"/>
            <w:tcBorders>
              <w:top w:val="single" w:sz="4" w:space="0" w:color="auto"/>
              <w:left w:val="single" w:sz="4" w:space="0" w:color="auto"/>
              <w:bottom w:val="single" w:sz="4" w:space="0" w:color="auto"/>
              <w:right w:val="single" w:sz="4" w:space="0" w:color="auto"/>
            </w:tcBorders>
            <w:shd w:val="clear" w:color="auto" w:fill="auto"/>
            <w:hideMark/>
          </w:tcPr>
          <w:p w14:paraId="2A08B11F" w14:textId="1C7F9CC7" w:rsidR="00196A3B" w:rsidRPr="00196A3B" w:rsidRDefault="00196A3B" w:rsidP="007F2961">
            <w:pPr>
              <w:jc w:val="center"/>
              <w:rPr>
                <w:rFonts w:ascii="Century Gothic" w:hAnsi="Century Gothic" w:cs="Calibri"/>
              </w:rPr>
            </w:pPr>
            <w:r w:rsidRPr="00196A3B">
              <w:rPr>
                <w:rFonts w:ascii="Century Gothic" w:hAnsi="Century Gothic" w:cs="Calibri"/>
              </w:rPr>
              <w:t xml:space="preserve"> 7,410.64 </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hideMark/>
          </w:tcPr>
          <w:p w14:paraId="2A7FBB78" w14:textId="4361E81E" w:rsidR="00196A3B" w:rsidRPr="00196A3B" w:rsidRDefault="00196A3B" w:rsidP="007F2961">
            <w:pPr>
              <w:jc w:val="center"/>
              <w:rPr>
                <w:rFonts w:ascii="Century Gothic" w:hAnsi="Century Gothic" w:cs="Calibri"/>
              </w:rPr>
            </w:pPr>
            <w:r w:rsidRPr="00196A3B">
              <w:rPr>
                <w:rFonts w:ascii="Century Gothic" w:hAnsi="Century Gothic" w:cs="Calibri"/>
              </w:rPr>
              <w:t xml:space="preserve"> 6,379.62 </w:t>
            </w:r>
          </w:p>
        </w:tc>
      </w:tr>
      <w:tr w:rsidR="00196A3B" w:rsidRPr="009E3580" w14:paraId="15BBBDD8" w14:textId="77777777" w:rsidTr="009476A8">
        <w:trPr>
          <w:gridAfter w:val="1"/>
          <w:wAfter w:w="105" w:type="pct"/>
          <w:trHeight w:val="60"/>
        </w:trPr>
        <w:tc>
          <w:tcPr>
            <w:tcW w:w="43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312B90"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11</w:t>
            </w:r>
          </w:p>
        </w:tc>
        <w:tc>
          <w:tcPr>
            <w:tcW w:w="2618" w:type="pct"/>
            <w:tcBorders>
              <w:top w:val="single" w:sz="4" w:space="0" w:color="auto"/>
              <w:left w:val="nil"/>
              <w:bottom w:val="single" w:sz="8" w:space="0" w:color="auto"/>
              <w:right w:val="single" w:sz="8" w:space="0" w:color="auto"/>
            </w:tcBorders>
            <w:shd w:val="clear" w:color="auto" w:fill="auto"/>
            <w:vAlign w:val="center"/>
            <w:hideMark/>
          </w:tcPr>
          <w:p w14:paraId="1760FB19"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Cash inflows</w:t>
            </w:r>
          </w:p>
        </w:tc>
        <w:tc>
          <w:tcPr>
            <w:tcW w:w="966" w:type="pct"/>
            <w:tcBorders>
              <w:top w:val="single" w:sz="4" w:space="0" w:color="auto"/>
              <w:left w:val="nil"/>
              <w:bottom w:val="single" w:sz="8" w:space="0" w:color="auto"/>
              <w:right w:val="single" w:sz="8" w:space="0" w:color="auto"/>
            </w:tcBorders>
            <w:shd w:val="clear" w:color="auto" w:fill="auto"/>
            <w:hideMark/>
          </w:tcPr>
          <w:p w14:paraId="7E8DAD78" w14:textId="4CE3B65D" w:rsidR="00196A3B" w:rsidRPr="00196A3B" w:rsidRDefault="00196A3B" w:rsidP="007F2961">
            <w:pPr>
              <w:jc w:val="center"/>
              <w:rPr>
                <w:rFonts w:ascii="Century Gothic" w:hAnsi="Century Gothic" w:cs="Calibri"/>
              </w:rPr>
            </w:pPr>
            <w:r w:rsidRPr="00196A3B">
              <w:rPr>
                <w:rFonts w:ascii="Century Gothic" w:hAnsi="Century Gothic" w:cs="Calibri"/>
              </w:rPr>
              <w:t xml:space="preserve"> 178.93 </w:t>
            </w:r>
          </w:p>
        </w:tc>
        <w:tc>
          <w:tcPr>
            <w:tcW w:w="881" w:type="pct"/>
            <w:gridSpan w:val="5"/>
            <w:tcBorders>
              <w:top w:val="single" w:sz="4" w:space="0" w:color="auto"/>
              <w:left w:val="nil"/>
              <w:bottom w:val="single" w:sz="8" w:space="0" w:color="auto"/>
              <w:right w:val="single" w:sz="8" w:space="0" w:color="000000"/>
            </w:tcBorders>
            <w:shd w:val="clear" w:color="auto" w:fill="auto"/>
            <w:hideMark/>
          </w:tcPr>
          <w:p w14:paraId="1C44C810" w14:textId="3616DD31" w:rsidR="00196A3B" w:rsidRPr="00196A3B" w:rsidRDefault="00196A3B" w:rsidP="007F2961">
            <w:pPr>
              <w:jc w:val="center"/>
              <w:rPr>
                <w:rFonts w:ascii="Century Gothic" w:hAnsi="Century Gothic" w:cs="Calibri"/>
              </w:rPr>
            </w:pPr>
            <w:r w:rsidRPr="00196A3B">
              <w:rPr>
                <w:rFonts w:ascii="Century Gothic" w:hAnsi="Century Gothic" w:cs="Calibri"/>
              </w:rPr>
              <w:t xml:space="preserve"> 178.93 </w:t>
            </w:r>
          </w:p>
        </w:tc>
      </w:tr>
      <w:tr w:rsidR="00196A3B" w:rsidRPr="009E3580" w14:paraId="060C38D2" w14:textId="77777777" w:rsidTr="009476A8">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E6ECB81"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12</w:t>
            </w:r>
          </w:p>
        </w:tc>
        <w:tc>
          <w:tcPr>
            <w:tcW w:w="2618" w:type="pct"/>
            <w:tcBorders>
              <w:top w:val="nil"/>
              <w:left w:val="nil"/>
              <w:bottom w:val="single" w:sz="8" w:space="0" w:color="auto"/>
              <w:right w:val="single" w:sz="8" w:space="0" w:color="auto"/>
            </w:tcBorders>
            <w:shd w:val="clear" w:color="auto" w:fill="auto"/>
            <w:vAlign w:val="center"/>
            <w:hideMark/>
          </w:tcPr>
          <w:p w14:paraId="5B81EB01" w14:textId="77777777" w:rsidR="00196A3B" w:rsidRPr="009E3580" w:rsidRDefault="00196A3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Cash inflows</w:t>
            </w:r>
          </w:p>
        </w:tc>
        <w:tc>
          <w:tcPr>
            <w:tcW w:w="966" w:type="pct"/>
            <w:tcBorders>
              <w:top w:val="nil"/>
              <w:left w:val="nil"/>
              <w:bottom w:val="single" w:sz="8" w:space="0" w:color="auto"/>
              <w:right w:val="single" w:sz="8" w:space="0" w:color="auto"/>
            </w:tcBorders>
            <w:shd w:val="clear" w:color="auto" w:fill="auto"/>
            <w:hideMark/>
          </w:tcPr>
          <w:p w14:paraId="222168B8" w14:textId="2B3FC9E0" w:rsidR="00196A3B" w:rsidRPr="00196A3B" w:rsidRDefault="00196A3B" w:rsidP="007F2961">
            <w:pPr>
              <w:jc w:val="center"/>
              <w:rPr>
                <w:rFonts w:ascii="Century Gothic" w:hAnsi="Century Gothic" w:cs="Calibri"/>
              </w:rPr>
            </w:pPr>
            <w:r w:rsidRPr="00196A3B">
              <w:rPr>
                <w:rFonts w:ascii="Century Gothic" w:hAnsi="Century Gothic" w:cs="Calibri"/>
              </w:rPr>
              <w:t xml:space="preserve"> 7,589.56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76BB2F23" w14:textId="5F2EA39A" w:rsidR="00196A3B" w:rsidRPr="00196A3B" w:rsidRDefault="00196A3B" w:rsidP="007F2961">
            <w:pPr>
              <w:jc w:val="center"/>
              <w:rPr>
                <w:rFonts w:ascii="Century Gothic" w:hAnsi="Century Gothic" w:cs="Calibri"/>
              </w:rPr>
            </w:pPr>
            <w:r w:rsidRPr="00196A3B">
              <w:rPr>
                <w:rFonts w:ascii="Century Gothic" w:hAnsi="Century Gothic" w:cs="Calibri"/>
              </w:rPr>
              <w:t xml:space="preserve"> 6,558.55 </w:t>
            </w:r>
          </w:p>
        </w:tc>
      </w:tr>
      <w:tr w:rsidR="00692D81" w:rsidRPr="009E3580" w14:paraId="13BEE7F1"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EC815F"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2618" w:type="pct"/>
            <w:tcBorders>
              <w:top w:val="nil"/>
              <w:left w:val="nil"/>
              <w:bottom w:val="single" w:sz="8" w:space="0" w:color="auto"/>
              <w:right w:val="single" w:sz="8" w:space="0" w:color="auto"/>
            </w:tcBorders>
            <w:shd w:val="clear" w:color="auto" w:fill="auto"/>
            <w:vAlign w:val="center"/>
            <w:hideMark/>
          </w:tcPr>
          <w:p w14:paraId="152BCC04"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c>
          <w:tcPr>
            <w:tcW w:w="1847" w:type="pct"/>
            <w:gridSpan w:val="6"/>
            <w:tcBorders>
              <w:top w:val="single" w:sz="8" w:space="0" w:color="auto"/>
              <w:left w:val="nil"/>
              <w:bottom w:val="single" w:sz="8" w:space="0" w:color="auto"/>
              <w:right w:val="single" w:sz="8" w:space="0" w:color="000000"/>
            </w:tcBorders>
            <w:shd w:val="clear" w:color="auto" w:fill="auto"/>
            <w:vAlign w:val="center"/>
            <w:hideMark/>
          </w:tcPr>
          <w:p w14:paraId="4C3E7943" w14:textId="77777777" w:rsidR="00692D81" w:rsidRPr="009E3580" w:rsidRDefault="00692D81" w:rsidP="00292A51">
            <w:pPr>
              <w:jc w:val="center"/>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Total Adjusted Value</w:t>
            </w:r>
          </w:p>
        </w:tc>
      </w:tr>
      <w:tr w:rsidR="00196A3B" w:rsidRPr="009E3580" w14:paraId="4E7E4929" w14:textId="77777777" w:rsidTr="00A30936">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D4D1E8"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13</w:t>
            </w:r>
          </w:p>
        </w:tc>
        <w:tc>
          <w:tcPr>
            <w:tcW w:w="2618" w:type="pct"/>
            <w:tcBorders>
              <w:top w:val="nil"/>
              <w:left w:val="nil"/>
              <w:bottom w:val="single" w:sz="8" w:space="0" w:color="auto"/>
              <w:right w:val="single" w:sz="8" w:space="0" w:color="auto"/>
            </w:tcBorders>
            <w:shd w:val="clear" w:color="auto" w:fill="auto"/>
            <w:vAlign w:val="center"/>
            <w:hideMark/>
          </w:tcPr>
          <w:p w14:paraId="08858475" w14:textId="77777777" w:rsidR="00196A3B" w:rsidRPr="009E3580" w:rsidRDefault="00196A3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HQLA</w:t>
            </w:r>
          </w:p>
        </w:tc>
        <w:tc>
          <w:tcPr>
            <w:tcW w:w="966" w:type="pct"/>
            <w:tcBorders>
              <w:top w:val="nil"/>
              <w:left w:val="nil"/>
              <w:bottom w:val="single" w:sz="8" w:space="0" w:color="auto"/>
              <w:right w:val="single" w:sz="8" w:space="0" w:color="auto"/>
            </w:tcBorders>
            <w:shd w:val="clear" w:color="000000" w:fill="000000"/>
            <w:vAlign w:val="center"/>
            <w:hideMark/>
          </w:tcPr>
          <w:p w14:paraId="05372173" w14:textId="77777777" w:rsidR="00196A3B" w:rsidRPr="009E3580" w:rsidRDefault="00196A3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2F0ADAF2" w14:textId="169E2F0C" w:rsidR="00196A3B" w:rsidRPr="00196A3B" w:rsidRDefault="00196A3B" w:rsidP="00575765">
            <w:pPr>
              <w:jc w:val="center"/>
              <w:rPr>
                <w:rFonts w:ascii="Century Gothic" w:hAnsi="Century Gothic" w:cs="Calibri"/>
              </w:rPr>
            </w:pPr>
            <w:r w:rsidRPr="00196A3B">
              <w:rPr>
                <w:rFonts w:ascii="Century Gothic" w:hAnsi="Century Gothic" w:cs="Calibri"/>
              </w:rPr>
              <w:t xml:space="preserve"> 68,275.68 </w:t>
            </w:r>
          </w:p>
        </w:tc>
      </w:tr>
      <w:tr w:rsidR="00196A3B" w:rsidRPr="009E3580" w14:paraId="1DE486EB" w14:textId="77777777" w:rsidTr="00A30936">
        <w:trPr>
          <w:gridAfter w:val="1"/>
          <w:wAfter w:w="105" w:type="pct"/>
          <w:trHeight w:val="17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DC97C2A"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14</w:t>
            </w:r>
          </w:p>
        </w:tc>
        <w:tc>
          <w:tcPr>
            <w:tcW w:w="2618" w:type="pct"/>
            <w:tcBorders>
              <w:top w:val="nil"/>
              <w:left w:val="nil"/>
              <w:bottom w:val="single" w:sz="8" w:space="0" w:color="auto"/>
              <w:right w:val="single" w:sz="8" w:space="0" w:color="auto"/>
            </w:tcBorders>
            <w:shd w:val="clear" w:color="auto" w:fill="auto"/>
            <w:vAlign w:val="center"/>
            <w:hideMark/>
          </w:tcPr>
          <w:p w14:paraId="15AD4209" w14:textId="77777777" w:rsidR="00196A3B" w:rsidRPr="009E3580" w:rsidRDefault="00196A3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Net Cash Outflow</w:t>
            </w:r>
          </w:p>
        </w:tc>
        <w:tc>
          <w:tcPr>
            <w:tcW w:w="966" w:type="pct"/>
            <w:tcBorders>
              <w:top w:val="nil"/>
              <w:left w:val="nil"/>
              <w:bottom w:val="single" w:sz="8" w:space="0" w:color="auto"/>
              <w:right w:val="single" w:sz="8" w:space="0" w:color="auto"/>
            </w:tcBorders>
            <w:shd w:val="clear" w:color="000000" w:fill="000000"/>
            <w:vAlign w:val="center"/>
            <w:hideMark/>
          </w:tcPr>
          <w:p w14:paraId="32CB0087" w14:textId="77777777" w:rsidR="00196A3B" w:rsidRPr="009E3580" w:rsidRDefault="00196A3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30E009CB" w14:textId="30F1DBC5" w:rsidR="00196A3B" w:rsidRPr="00196A3B" w:rsidRDefault="00196A3B" w:rsidP="00575765">
            <w:pPr>
              <w:jc w:val="center"/>
              <w:rPr>
                <w:rFonts w:ascii="Century Gothic" w:hAnsi="Century Gothic" w:cs="Calibri"/>
              </w:rPr>
            </w:pPr>
            <w:r w:rsidRPr="00196A3B">
              <w:rPr>
                <w:rFonts w:ascii="Century Gothic" w:hAnsi="Century Gothic" w:cs="Calibri"/>
              </w:rPr>
              <w:t xml:space="preserve"> 59,698.82 </w:t>
            </w:r>
          </w:p>
        </w:tc>
      </w:tr>
      <w:tr w:rsidR="00196A3B" w:rsidRPr="009E3580" w14:paraId="4C179B75" w14:textId="77777777" w:rsidTr="00A30936">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63189480" w14:textId="77777777" w:rsidR="00196A3B" w:rsidRPr="009E3580" w:rsidRDefault="00196A3B"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15</w:t>
            </w:r>
          </w:p>
        </w:tc>
        <w:tc>
          <w:tcPr>
            <w:tcW w:w="2618" w:type="pct"/>
            <w:tcBorders>
              <w:top w:val="nil"/>
              <w:left w:val="nil"/>
              <w:bottom w:val="single" w:sz="8" w:space="0" w:color="auto"/>
              <w:right w:val="single" w:sz="8" w:space="0" w:color="auto"/>
            </w:tcBorders>
            <w:shd w:val="clear" w:color="auto" w:fill="auto"/>
            <w:vAlign w:val="center"/>
            <w:hideMark/>
          </w:tcPr>
          <w:p w14:paraId="4105D601" w14:textId="3B97151D" w:rsidR="00196A3B" w:rsidRPr="009E3580" w:rsidRDefault="00196A3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Liquidity Coverage Ratio (%)</w:t>
            </w:r>
            <w:r>
              <w:rPr>
                <w:rFonts w:ascii="Century Gothic" w:hAnsi="Century Gothic" w:cs="Calibri"/>
                <w:b/>
                <w:bCs/>
                <w:sz w:val="20"/>
                <w:szCs w:val="20"/>
                <w:lang w:eastAsia="en-IN" w:bidi="hi-IN"/>
              </w:rPr>
              <w:t>*</w:t>
            </w:r>
          </w:p>
        </w:tc>
        <w:tc>
          <w:tcPr>
            <w:tcW w:w="966" w:type="pct"/>
            <w:tcBorders>
              <w:top w:val="nil"/>
              <w:left w:val="nil"/>
              <w:bottom w:val="single" w:sz="8" w:space="0" w:color="auto"/>
              <w:right w:val="single" w:sz="8" w:space="0" w:color="auto"/>
            </w:tcBorders>
            <w:shd w:val="clear" w:color="000000" w:fill="000000"/>
            <w:vAlign w:val="center"/>
            <w:hideMark/>
          </w:tcPr>
          <w:p w14:paraId="17EFC699" w14:textId="77777777" w:rsidR="00196A3B" w:rsidRPr="009E3580" w:rsidRDefault="00196A3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hideMark/>
          </w:tcPr>
          <w:p w14:paraId="64A29413" w14:textId="24AD8346" w:rsidR="00196A3B" w:rsidRPr="00196A3B" w:rsidRDefault="00196A3B" w:rsidP="002B6924">
            <w:pPr>
              <w:jc w:val="center"/>
              <w:rPr>
                <w:rFonts w:ascii="Century Gothic" w:hAnsi="Century Gothic" w:cs="Calibri"/>
              </w:rPr>
            </w:pPr>
            <w:r w:rsidRPr="00196A3B">
              <w:rPr>
                <w:rFonts w:ascii="Century Gothic" w:hAnsi="Century Gothic" w:cs="Calibri"/>
              </w:rPr>
              <w:t>114.37%</w:t>
            </w:r>
          </w:p>
        </w:tc>
      </w:tr>
      <w:tr w:rsidR="00692D81" w:rsidRPr="009E3580" w14:paraId="3E1280AB" w14:textId="77777777" w:rsidTr="00DA19EB">
        <w:trPr>
          <w:gridAfter w:val="6"/>
          <w:wAfter w:w="986" w:type="pct"/>
          <w:trHeight w:val="315"/>
        </w:trPr>
        <w:tc>
          <w:tcPr>
            <w:tcW w:w="3048" w:type="pct"/>
            <w:gridSpan w:val="2"/>
            <w:tcBorders>
              <w:top w:val="single" w:sz="8" w:space="0" w:color="auto"/>
              <w:left w:val="nil"/>
              <w:bottom w:val="nil"/>
              <w:right w:val="nil"/>
            </w:tcBorders>
            <w:shd w:val="clear" w:color="auto" w:fill="auto"/>
            <w:noWrap/>
            <w:vAlign w:val="center"/>
            <w:hideMark/>
          </w:tcPr>
          <w:p w14:paraId="40B3A953" w14:textId="2BCCC49C" w:rsidR="00692D81" w:rsidRPr="009E3580" w:rsidRDefault="00692D81" w:rsidP="0054487B">
            <w:pPr>
              <w:jc w:val="both"/>
              <w:rPr>
                <w:rFonts w:ascii="Century Gothic" w:hAnsi="Century Gothic" w:cs="Calibri"/>
                <w:sz w:val="20"/>
                <w:szCs w:val="20"/>
                <w:lang w:val="en-IN" w:eastAsia="en-IN" w:bidi="hi-IN"/>
              </w:rPr>
            </w:pPr>
            <w:r w:rsidRPr="009E3580">
              <w:rPr>
                <w:rFonts w:ascii="Century Gothic" w:hAnsi="Century Gothic" w:cs="Calibri"/>
                <w:sz w:val="20"/>
                <w:szCs w:val="20"/>
                <w:lang w:val="en-IN" w:eastAsia="en-IN" w:bidi="hi-IN"/>
              </w:rPr>
              <w:t xml:space="preserve">* Average of Daily LCR of </w:t>
            </w:r>
            <w:r>
              <w:rPr>
                <w:rFonts w:ascii="Century Gothic" w:hAnsi="Century Gothic" w:cs="Calibri"/>
                <w:sz w:val="20"/>
                <w:szCs w:val="20"/>
                <w:lang w:val="en-IN" w:eastAsia="en-IN" w:bidi="hi-IN"/>
              </w:rPr>
              <w:t>Q</w:t>
            </w:r>
            <w:r w:rsidR="0054487B">
              <w:rPr>
                <w:rFonts w:ascii="Century Gothic" w:hAnsi="Century Gothic" w:cs="Calibri"/>
                <w:sz w:val="20"/>
                <w:szCs w:val="20"/>
                <w:lang w:val="en-IN" w:eastAsia="en-IN" w:bidi="hi-IN"/>
              </w:rPr>
              <w:t>4</w:t>
            </w:r>
            <w:r>
              <w:rPr>
                <w:rFonts w:ascii="Century Gothic" w:hAnsi="Century Gothic" w:cs="Calibri"/>
                <w:sz w:val="20"/>
                <w:szCs w:val="20"/>
                <w:lang w:val="en-IN" w:eastAsia="en-IN" w:bidi="hi-IN"/>
              </w:rPr>
              <w:t xml:space="preserve"> 2025-26</w:t>
            </w:r>
            <w:r w:rsidR="0054487B">
              <w:rPr>
                <w:rFonts w:ascii="Century Gothic" w:hAnsi="Century Gothic" w:cs="Calibri"/>
                <w:sz w:val="20"/>
                <w:szCs w:val="20"/>
                <w:lang w:val="en-IN" w:eastAsia="en-IN" w:bidi="hi-IN"/>
              </w:rPr>
              <w:t xml:space="preserve"> i.e. from Jan</w:t>
            </w:r>
            <w:r>
              <w:rPr>
                <w:rFonts w:ascii="Century Gothic" w:hAnsi="Century Gothic" w:cs="Calibri"/>
                <w:sz w:val="20"/>
                <w:szCs w:val="20"/>
                <w:lang w:val="en-IN" w:eastAsia="en-IN" w:bidi="hi-IN"/>
              </w:rPr>
              <w:t xml:space="preserve"> 2</w:t>
            </w:r>
            <w:r w:rsidR="0054487B">
              <w:rPr>
                <w:rFonts w:ascii="Century Gothic" w:hAnsi="Century Gothic" w:cs="Calibri"/>
                <w:sz w:val="20"/>
                <w:szCs w:val="20"/>
                <w:lang w:val="en-IN" w:eastAsia="en-IN" w:bidi="hi-IN"/>
              </w:rPr>
              <w:t>6</w:t>
            </w:r>
            <w:r w:rsidRPr="009E3580">
              <w:rPr>
                <w:rFonts w:ascii="Century Gothic" w:hAnsi="Century Gothic" w:cs="Calibri"/>
                <w:sz w:val="20"/>
                <w:szCs w:val="20"/>
                <w:lang w:val="en-IN" w:eastAsia="en-IN" w:bidi="hi-IN"/>
              </w:rPr>
              <w:t xml:space="preserve"> to</w:t>
            </w:r>
            <w:r w:rsidR="0054487B">
              <w:rPr>
                <w:rFonts w:ascii="Century Gothic" w:hAnsi="Century Gothic" w:cs="Calibri"/>
                <w:sz w:val="20"/>
                <w:szCs w:val="20"/>
                <w:lang w:val="en-IN" w:eastAsia="en-IN" w:bidi="hi-IN"/>
              </w:rPr>
              <w:t xml:space="preserve"> Mar</w:t>
            </w:r>
            <w:r>
              <w:rPr>
                <w:rFonts w:ascii="Century Gothic" w:hAnsi="Century Gothic" w:cs="Calibri"/>
                <w:sz w:val="20"/>
                <w:szCs w:val="20"/>
                <w:lang w:val="en-IN" w:eastAsia="en-IN" w:bidi="hi-IN"/>
              </w:rPr>
              <w:t xml:space="preserve"> 2</w:t>
            </w:r>
            <w:r w:rsidR="0054487B">
              <w:rPr>
                <w:rFonts w:ascii="Century Gothic" w:hAnsi="Century Gothic" w:cs="Calibri"/>
                <w:sz w:val="20"/>
                <w:szCs w:val="20"/>
                <w:lang w:val="en-IN" w:eastAsia="en-IN" w:bidi="hi-IN"/>
              </w:rPr>
              <w:t>6</w:t>
            </w:r>
          </w:p>
        </w:tc>
        <w:tc>
          <w:tcPr>
            <w:tcW w:w="966" w:type="pct"/>
            <w:tcBorders>
              <w:top w:val="nil"/>
              <w:left w:val="nil"/>
              <w:bottom w:val="nil"/>
              <w:right w:val="nil"/>
            </w:tcBorders>
            <w:shd w:val="clear" w:color="auto" w:fill="auto"/>
            <w:vAlign w:val="center"/>
            <w:hideMark/>
          </w:tcPr>
          <w:p w14:paraId="4773BC7A"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val="en-IN" w:eastAsia="en-IN" w:bidi="hi-IN"/>
              </w:rPr>
              <w:t> </w:t>
            </w:r>
          </w:p>
        </w:tc>
      </w:tr>
    </w:tbl>
    <w:p w14:paraId="1CBE9051" w14:textId="77777777" w:rsidR="00965E12" w:rsidRDefault="00965E12" w:rsidP="00E72144">
      <w:pPr>
        <w:jc w:val="both"/>
        <w:rPr>
          <w:rFonts w:ascii="Century Gothic" w:hAnsi="Century Gothic"/>
          <w:b/>
          <w:bCs/>
          <w:sz w:val="22"/>
          <w:szCs w:val="22"/>
        </w:rPr>
      </w:pPr>
    </w:p>
    <w:p w14:paraId="1A860251" w14:textId="77777777" w:rsidR="00CB60F4" w:rsidRPr="004A13CF" w:rsidRDefault="00CB60F4" w:rsidP="00CB60F4">
      <w:pPr>
        <w:jc w:val="both"/>
        <w:rPr>
          <w:rFonts w:ascii="Century Gothic" w:hAnsi="Century Gothic"/>
          <w:b/>
          <w:bCs/>
          <w:color w:val="000000"/>
          <w:sz w:val="22"/>
          <w:szCs w:val="22"/>
        </w:rPr>
      </w:pPr>
      <w:r w:rsidRPr="004A13CF">
        <w:rPr>
          <w:rFonts w:ascii="Century Gothic" w:hAnsi="Century Gothic"/>
          <w:b/>
          <w:bCs/>
          <w:color w:val="000000"/>
          <w:sz w:val="22"/>
          <w:szCs w:val="22"/>
        </w:rPr>
        <w:lastRenderedPageBreak/>
        <w:t xml:space="preserve">Qualitative Assessment of LCR data and </w:t>
      </w:r>
      <w:proofErr w:type="gramStart"/>
      <w:r w:rsidRPr="004A13CF">
        <w:rPr>
          <w:rFonts w:ascii="Century Gothic" w:hAnsi="Century Gothic"/>
          <w:b/>
          <w:bCs/>
          <w:color w:val="000000"/>
          <w:sz w:val="22"/>
          <w:szCs w:val="22"/>
        </w:rPr>
        <w:t>Resul</w:t>
      </w:r>
      <w:r>
        <w:rPr>
          <w:rFonts w:ascii="Century Gothic" w:hAnsi="Century Gothic"/>
          <w:b/>
          <w:bCs/>
          <w:color w:val="000000"/>
          <w:sz w:val="22"/>
          <w:szCs w:val="22"/>
        </w:rPr>
        <w:t>t :</w:t>
      </w:r>
      <w:proofErr w:type="gramEnd"/>
    </w:p>
    <w:p w14:paraId="2213A00A" w14:textId="77777777" w:rsidR="00CB60F4" w:rsidRPr="004A13CF" w:rsidRDefault="00CB60F4" w:rsidP="00CB60F4">
      <w:pPr>
        <w:jc w:val="both"/>
        <w:rPr>
          <w:rFonts w:ascii="Century Gothic" w:hAnsi="Century Gothic"/>
          <w:b/>
          <w:bCs/>
          <w:color w:val="000000"/>
          <w:sz w:val="22"/>
          <w:szCs w:val="22"/>
        </w:rPr>
      </w:pPr>
    </w:p>
    <w:p w14:paraId="65EF6577" w14:textId="77777777" w:rsidR="00CB60F4" w:rsidRDefault="00CB60F4" w:rsidP="00CB60F4">
      <w:pPr>
        <w:pStyle w:val="ListParagraph"/>
        <w:ind w:left="0"/>
        <w:jc w:val="both"/>
        <w:rPr>
          <w:rFonts w:ascii="Century Gothic" w:hAnsi="Century Gothic"/>
        </w:rPr>
      </w:pPr>
      <w:r w:rsidRPr="009E3580">
        <w:rPr>
          <w:rFonts w:ascii="Century Gothic" w:hAnsi="Century Gothic"/>
        </w:rPr>
        <w:t>Liquidity Coverage Ratio (LCR) has been introduced with the objective t</w:t>
      </w:r>
      <w:r>
        <w:rPr>
          <w:rFonts w:ascii="Century Gothic" w:hAnsi="Century Gothic"/>
        </w:rPr>
        <w:t>o ensure that Bank</w:t>
      </w:r>
      <w:r w:rsidRPr="009E3580">
        <w:rPr>
          <w:rFonts w:ascii="Century Gothic" w:hAnsi="Century Gothic"/>
        </w:rPr>
        <w:t xml:space="preserve"> maintains an adequate level of unencumbered High Quality Liquid Assets (HQLAs) that can be converted into cash to meet its </w:t>
      </w:r>
      <w:r>
        <w:rPr>
          <w:rFonts w:ascii="Century Gothic" w:hAnsi="Century Gothic"/>
        </w:rPr>
        <w:t>stressed outflows</w:t>
      </w:r>
      <w:r w:rsidRPr="009E3580">
        <w:rPr>
          <w:rFonts w:ascii="Century Gothic" w:hAnsi="Century Gothic"/>
        </w:rPr>
        <w:t xml:space="preserve"> for next 30 calendar day time horizon. RBI mandates Banks t</w:t>
      </w:r>
      <w:r>
        <w:rPr>
          <w:rFonts w:ascii="Century Gothic" w:hAnsi="Century Gothic"/>
        </w:rPr>
        <w:t>o maintain minimum LCR of 100% at Bank level.</w:t>
      </w:r>
    </w:p>
    <w:p w14:paraId="2C146B29" w14:textId="77777777" w:rsidR="00CB60F4" w:rsidRPr="00C37C0E" w:rsidRDefault="00CB60F4" w:rsidP="00CB60F4">
      <w:pPr>
        <w:pStyle w:val="ListParagraph"/>
        <w:ind w:left="0"/>
        <w:jc w:val="both"/>
        <w:rPr>
          <w:rFonts w:ascii="Century Gothic" w:hAnsi="Century Gothic"/>
          <w:bCs/>
          <w:color w:val="FF0000"/>
          <w:sz w:val="22"/>
          <w:szCs w:val="22"/>
        </w:rPr>
      </w:pPr>
    </w:p>
    <w:p w14:paraId="265FD113" w14:textId="77777777" w:rsidR="00CB60F4" w:rsidRPr="00C37C0E" w:rsidRDefault="00CB60F4" w:rsidP="00CB60F4">
      <w:pPr>
        <w:pStyle w:val="ListParagraph"/>
        <w:ind w:left="0"/>
        <w:jc w:val="both"/>
        <w:rPr>
          <w:rFonts w:ascii="Century Gothic" w:hAnsi="Century Gothic"/>
          <w:color w:val="FF0000"/>
          <w:sz w:val="22"/>
          <w:szCs w:val="22"/>
        </w:rPr>
      </w:pPr>
      <w:r w:rsidRPr="006B422D">
        <w:rPr>
          <w:rFonts w:ascii="Century Gothic" w:hAnsi="Century Gothic"/>
          <w:b/>
          <w:bCs/>
          <w:color w:val="222A35" w:themeColor="text2" w:themeShade="80"/>
          <w:sz w:val="22"/>
          <w:szCs w:val="22"/>
          <w:u w:val="single"/>
        </w:rPr>
        <w:t>Drivers of LCR</w:t>
      </w:r>
      <w:r w:rsidRPr="00C37C0E">
        <w:rPr>
          <w:rFonts w:ascii="Century Gothic" w:hAnsi="Century Gothic"/>
          <w:color w:val="FF0000"/>
          <w:sz w:val="22"/>
          <w:szCs w:val="22"/>
        </w:rPr>
        <w:t>:</w:t>
      </w:r>
    </w:p>
    <w:p w14:paraId="44E47CD3" w14:textId="77777777" w:rsidR="00CB60F4" w:rsidRPr="00C37C0E" w:rsidRDefault="00CB60F4" w:rsidP="00CB60F4">
      <w:pPr>
        <w:pStyle w:val="ListParagraph"/>
        <w:ind w:left="0"/>
        <w:jc w:val="both"/>
        <w:rPr>
          <w:rFonts w:ascii="Century Gothic" w:hAnsi="Century Gothic"/>
          <w:color w:val="FF0000"/>
          <w:sz w:val="22"/>
          <w:szCs w:val="22"/>
        </w:rPr>
      </w:pPr>
    </w:p>
    <w:p w14:paraId="0C9589F7" w14:textId="77777777" w:rsidR="00CB60F4" w:rsidRDefault="00CB60F4" w:rsidP="00CB60F4">
      <w:pPr>
        <w:pStyle w:val="ListParagraph"/>
        <w:ind w:left="0"/>
        <w:jc w:val="both"/>
        <w:rPr>
          <w:rFonts w:ascii="Century Gothic" w:hAnsi="Century Gothic"/>
        </w:rPr>
      </w:pPr>
      <w:r w:rsidRPr="009E3580">
        <w:rPr>
          <w:rFonts w:ascii="Century Gothic" w:hAnsi="Century Gothic"/>
        </w:rPr>
        <w:t>The Bank has been maintaining the LCR above the minimum regulatory r</w:t>
      </w:r>
      <w:r>
        <w:rPr>
          <w:rFonts w:ascii="Century Gothic" w:hAnsi="Century Gothic"/>
        </w:rPr>
        <w:t>equirement on an ongoing basis a</w:t>
      </w:r>
      <w:r w:rsidRPr="009E3580">
        <w:rPr>
          <w:rFonts w:ascii="Century Gothic" w:hAnsi="Century Gothic"/>
        </w:rPr>
        <w:t>n</w:t>
      </w:r>
      <w:r>
        <w:rPr>
          <w:rFonts w:ascii="Century Gothic" w:hAnsi="Century Gothic"/>
        </w:rPr>
        <w:t>d</w:t>
      </w:r>
      <w:r w:rsidRPr="009E3580">
        <w:rPr>
          <w:rFonts w:ascii="Century Gothic" w:hAnsi="Century Gothic"/>
        </w:rPr>
        <w:t xml:space="preserve"> the main drivers are as under:</w:t>
      </w:r>
    </w:p>
    <w:p w14:paraId="5FDA7E01" w14:textId="77777777" w:rsidR="00CB60F4" w:rsidRPr="006B422D" w:rsidRDefault="00CB60F4" w:rsidP="00CB60F4">
      <w:pPr>
        <w:pStyle w:val="ListParagraph"/>
        <w:rPr>
          <w:rFonts w:ascii="Century Gothic" w:hAnsi="Century Gothic"/>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8327"/>
      </w:tblGrid>
      <w:tr w:rsidR="00CB60F4" w:rsidRPr="006B422D" w14:paraId="11519581" w14:textId="77777777" w:rsidTr="004B5766">
        <w:tc>
          <w:tcPr>
            <w:tcW w:w="1058" w:type="pct"/>
          </w:tcPr>
          <w:p w14:paraId="5C20CBD2" w14:textId="77777777" w:rsidR="00CB60F4" w:rsidRPr="006B422D" w:rsidRDefault="00CB60F4" w:rsidP="004B5766">
            <w:pPr>
              <w:pStyle w:val="ListParagraph"/>
              <w:rPr>
                <w:rFonts w:ascii="Century Gothic" w:hAnsi="Century Gothic"/>
                <w:b/>
              </w:rPr>
            </w:pPr>
            <w:r w:rsidRPr="006B422D">
              <w:rPr>
                <w:rFonts w:ascii="Century Gothic" w:hAnsi="Century Gothic"/>
                <w:b/>
              </w:rPr>
              <w:t>Drivers</w:t>
            </w:r>
          </w:p>
        </w:tc>
        <w:tc>
          <w:tcPr>
            <w:tcW w:w="3942" w:type="pct"/>
          </w:tcPr>
          <w:p w14:paraId="713820DC" w14:textId="77777777" w:rsidR="00CB60F4" w:rsidRPr="006B422D" w:rsidRDefault="00CB60F4" w:rsidP="004B5766">
            <w:pPr>
              <w:pStyle w:val="ListParagraph"/>
              <w:rPr>
                <w:rFonts w:ascii="Century Gothic" w:hAnsi="Century Gothic"/>
                <w:b/>
              </w:rPr>
            </w:pPr>
            <w:r w:rsidRPr="006B422D">
              <w:rPr>
                <w:rFonts w:ascii="Century Gothic" w:hAnsi="Century Gothic"/>
                <w:b/>
              </w:rPr>
              <w:t>Particulars</w:t>
            </w:r>
          </w:p>
        </w:tc>
      </w:tr>
      <w:tr w:rsidR="00CB60F4" w:rsidRPr="006B422D" w14:paraId="1B9F9A67" w14:textId="77777777" w:rsidTr="004B5766">
        <w:tc>
          <w:tcPr>
            <w:tcW w:w="1058" w:type="pct"/>
            <w:vAlign w:val="center"/>
          </w:tcPr>
          <w:p w14:paraId="01E139D4" w14:textId="77777777" w:rsidR="00CB60F4" w:rsidRPr="006B422D" w:rsidRDefault="00CB60F4" w:rsidP="004B5766">
            <w:pPr>
              <w:pStyle w:val="ListParagraph"/>
              <w:rPr>
                <w:rFonts w:ascii="Century Gothic" w:hAnsi="Century Gothic"/>
              </w:rPr>
            </w:pPr>
            <w:r w:rsidRPr="006B422D">
              <w:rPr>
                <w:rFonts w:ascii="Century Gothic" w:hAnsi="Century Gothic"/>
              </w:rPr>
              <w:t>High Quality Liquid Assets (HQLA)</w:t>
            </w:r>
          </w:p>
        </w:tc>
        <w:tc>
          <w:tcPr>
            <w:tcW w:w="3942" w:type="pct"/>
          </w:tcPr>
          <w:p w14:paraId="387423D4" w14:textId="77777777" w:rsidR="00CB60F4" w:rsidRDefault="00CB60F4" w:rsidP="004B5766">
            <w:pPr>
              <w:pStyle w:val="ListParagraph"/>
              <w:rPr>
                <w:rFonts w:ascii="Century Gothic" w:hAnsi="Century Gothic"/>
              </w:rPr>
            </w:pPr>
            <w:r w:rsidRPr="006B422D">
              <w:rPr>
                <w:rFonts w:ascii="Century Gothic" w:hAnsi="Century Gothic"/>
              </w:rPr>
              <w:t xml:space="preserve">The Bank is maintaining substantial level of HQLA in the form of Government Securities in excess of the mandatory SLR requirement, i.e. 18% of DTL which can be easily liquidated or could be used for generating quick liquidity in stressed conditions. </w:t>
            </w:r>
          </w:p>
          <w:p w14:paraId="5A8F3D21" w14:textId="77777777" w:rsidR="00CB60F4" w:rsidRPr="00C266E0" w:rsidRDefault="00CB60F4" w:rsidP="004B5766">
            <w:pPr>
              <w:rPr>
                <w:rFonts w:ascii="Century Gothic" w:hAnsi="Century Gothic"/>
              </w:rPr>
            </w:pPr>
          </w:p>
          <w:p w14:paraId="442905E9" w14:textId="77777777" w:rsidR="00CB60F4" w:rsidRDefault="00CB60F4" w:rsidP="004B5766">
            <w:pPr>
              <w:pStyle w:val="ListParagraph"/>
              <w:rPr>
                <w:rFonts w:ascii="Century Gothic" w:hAnsi="Century Gothic"/>
              </w:rPr>
            </w:pPr>
            <w:r w:rsidRPr="006B422D">
              <w:rPr>
                <w:rFonts w:ascii="Century Gothic" w:hAnsi="Century Gothic"/>
              </w:rPr>
              <w:t xml:space="preserve">Bank was </w:t>
            </w:r>
            <w:r>
              <w:rPr>
                <w:rFonts w:ascii="Century Gothic" w:hAnsi="Century Gothic"/>
              </w:rPr>
              <w:t xml:space="preserve">unencumbered </w:t>
            </w:r>
            <w:r w:rsidRPr="006B422D">
              <w:rPr>
                <w:rFonts w:ascii="Century Gothic" w:hAnsi="Century Gothic"/>
              </w:rPr>
              <w:t xml:space="preserve">holding </w:t>
            </w:r>
            <w:r>
              <w:rPr>
                <w:rFonts w:ascii="Century Gothic" w:hAnsi="Century Gothic"/>
              </w:rPr>
              <w:t>3.41</w:t>
            </w:r>
            <w:r w:rsidRPr="006B422D">
              <w:rPr>
                <w:rFonts w:ascii="Century Gothic" w:hAnsi="Century Gothic"/>
              </w:rPr>
              <w:t>% of DTL in excess of mandatory SLR requirement as on 31.03.2026.</w:t>
            </w:r>
            <w:r>
              <w:rPr>
                <w:rFonts w:ascii="Century Gothic" w:hAnsi="Century Gothic"/>
              </w:rPr>
              <w:t xml:space="preserve"> (Total Excess SLR is 5.18% of DTL)</w:t>
            </w:r>
          </w:p>
          <w:p w14:paraId="74D49D33" w14:textId="77777777" w:rsidR="00CB60F4" w:rsidRPr="006B422D" w:rsidRDefault="00CB60F4" w:rsidP="004B5766">
            <w:pPr>
              <w:pStyle w:val="ListParagraph"/>
              <w:rPr>
                <w:rFonts w:ascii="Century Gothic" w:hAnsi="Century Gothic"/>
              </w:rPr>
            </w:pPr>
          </w:p>
        </w:tc>
      </w:tr>
      <w:tr w:rsidR="00CB60F4" w:rsidRPr="006B422D" w14:paraId="30844DD5" w14:textId="77777777" w:rsidTr="004B5766">
        <w:tc>
          <w:tcPr>
            <w:tcW w:w="1058" w:type="pct"/>
            <w:vAlign w:val="center"/>
          </w:tcPr>
          <w:p w14:paraId="54F3120C" w14:textId="77777777" w:rsidR="00CB60F4" w:rsidRPr="006B422D" w:rsidRDefault="00CB60F4" w:rsidP="004B5766">
            <w:pPr>
              <w:pStyle w:val="ListParagraph"/>
              <w:rPr>
                <w:rFonts w:ascii="Century Gothic" w:hAnsi="Century Gothic"/>
              </w:rPr>
            </w:pPr>
            <w:r w:rsidRPr="006B422D">
              <w:rPr>
                <w:rFonts w:ascii="Century Gothic" w:hAnsi="Century Gothic"/>
              </w:rPr>
              <w:t>Funding from Retail Deposits / Small Business Customers (SBC)</w:t>
            </w:r>
          </w:p>
        </w:tc>
        <w:tc>
          <w:tcPr>
            <w:tcW w:w="3942" w:type="pct"/>
          </w:tcPr>
          <w:p w14:paraId="0C082BC8" w14:textId="77777777" w:rsidR="00CB60F4" w:rsidRPr="006B422D" w:rsidRDefault="00CB60F4" w:rsidP="004B5766">
            <w:pPr>
              <w:pStyle w:val="ListParagraph"/>
              <w:rPr>
                <w:rFonts w:ascii="Century Gothic" w:hAnsi="Century Gothic"/>
              </w:rPr>
            </w:pPr>
            <w:r w:rsidRPr="006B422D">
              <w:rPr>
                <w:rFonts w:ascii="Century Gothic" w:hAnsi="Century Gothic"/>
              </w:rPr>
              <w:t xml:space="preserve">As funding from Retail customers as well as funding from Small business customers are considered stable during Stress Scenario and accordingly, Bank is focusing on sourcing funding from these sources and is reducing its dependence on corporate deposits and deposits from Bank / FI / NBFC. Presently, Bank’s total composition of Deposits in this segment is 60.75% of Total Global Deposits as on 31.03.2026. </w:t>
            </w:r>
          </w:p>
        </w:tc>
      </w:tr>
    </w:tbl>
    <w:p w14:paraId="5EAAA45E" w14:textId="77777777" w:rsidR="00CB60F4" w:rsidRPr="009E3580" w:rsidRDefault="00CB60F4" w:rsidP="00CB60F4">
      <w:pPr>
        <w:pStyle w:val="ListParagraph"/>
        <w:ind w:left="0"/>
        <w:jc w:val="both"/>
        <w:rPr>
          <w:rFonts w:ascii="Century Gothic" w:hAnsi="Century Gothic"/>
        </w:rPr>
      </w:pPr>
    </w:p>
    <w:p w14:paraId="537088A2" w14:textId="77777777" w:rsidR="00CB60F4" w:rsidRPr="009E3580" w:rsidRDefault="00CB60F4" w:rsidP="00CB60F4">
      <w:pPr>
        <w:pStyle w:val="ListParagraph"/>
        <w:spacing w:after="120"/>
        <w:ind w:left="0"/>
        <w:jc w:val="both"/>
        <w:rPr>
          <w:rFonts w:ascii="Century Gothic" w:hAnsi="Century Gothic"/>
          <w:sz w:val="22"/>
          <w:szCs w:val="22"/>
        </w:rPr>
      </w:pPr>
      <w:r w:rsidRPr="009E3580">
        <w:rPr>
          <w:rFonts w:ascii="Century Gothic" w:hAnsi="Century Gothic"/>
          <w:b/>
          <w:bCs/>
          <w:sz w:val="22"/>
          <w:szCs w:val="22"/>
          <w:u w:val="single"/>
        </w:rPr>
        <w:t>High Quality liquid Assets (HQLA)</w:t>
      </w:r>
      <w:r w:rsidRPr="009E3580">
        <w:rPr>
          <w:rFonts w:ascii="Century Gothic" w:hAnsi="Century Gothic"/>
          <w:sz w:val="22"/>
          <w:szCs w:val="22"/>
        </w:rPr>
        <w:t>: Our HQLA comprises of following</w:t>
      </w:r>
    </w:p>
    <w:p w14:paraId="1F368A91" w14:textId="77777777" w:rsidR="00CB60F4" w:rsidRPr="009E3580" w:rsidRDefault="00CB60F4" w:rsidP="00CB60F4">
      <w:pPr>
        <w:pStyle w:val="ListParagraph"/>
        <w:numPr>
          <w:ilvl w:val="0"/>
          <w:numId w:val="4"/>
        </w:numPr>
        <w:spacing w:after="120" w:line="276" w:lineRule="auto"/>
        <w:jc w:val="both"/>
        <w:rPr>
          <w:rFonts w:ascii="Century Gothic" w:hAnsi="Century Gothic"/>
          <w:b/>
          <w:sz w:val="22"/>
          <w:szCs w:val="22"/>
          <w:u w:val="single"/>
        </w:rPr>
      </w:pPr>
      <w:r w:rsidRPr="009E3580">
        <w:rPr>
          <w:rFonts w:ascii="Century Gothic" w:hAnsi="Century Gothic"/>
          <w:b/>
          <w:sz w:val="22"/>
          <w:szCs w:val="22"/>
          <w:u w:val="single"/>
        </w:rPr>
        <w:t>Level 1 Assets</w:t>
      </w:r>
    </w:p>
    <w:p w14:paraId="0A6E9CBE" w14:textId="77777777" w:rsidR="00CB60F4" w:rsidRPr="009E3580" w:rsidRDefault="00CB60F4" w:rsidP="00CB60F4">
      <w:pPr>
        <w:pStyle w:val="ListParagraph"/>
        <w:numPr>
          <w:ilvl w:val="0"/>
          <w:numId w:val="3"/>
        </w:numPr>
        <w:spacing w:after="200" w:line="276" w:lineRule="auto"/>
        <w:contextualSpacing/>
        <w:jc w:val="both"/>
        <w:rPr>
          <w:rFonts w:ascii="Century Gothic" w:hAnsi="Century Gothic"/>
          <w:sz w:val="22"/>
          <w:szCs w:val="22"/>
        </w:rPr>
      </w:pPr>
      <w:r w:rsidRPr="009E3580">
        <w:rPr>
          <w:rFonts w:ascii="Century Gothic" w:hAnsi="Century Gothic"/>
          <w:sz w:val="22"/>
          <w:szCs w:val="22"/>
        </w:rPr>
        <w:t>Cash in hand  including Cash Reserve in excess of CRR</w:t>
      </w:r>
    </w:p>
    <w:p w14:paraId="507FE41D" w14:textId="77777777" w:rsidR="00CB60F4" w:rsidRPr="009E3580" w:rsidRDefault="00CB60F4" w:rsidP="00CB60F4">
      <w:pPr>
        <w:pStyle w:val="ListParagraph"/>
        <w:numPr>
          <w:ilvl w:val="0"/>
          <w:numId w:val="3"/>
        </w:numPr>
        <w:spacing w:after="200" w:line="276" w:lineRule="auto"/>
        <w:contextualSpacing/>
        <w:jc w:val="both"/>
        <w:rPr>
          <w:rFonts w:ascii="Century Gothic" w:hAnsi="Century Gothic"/>
          <w:sz w:val="22"/>
          <w:szCs w:val="22"/>
        </w:rPr>
      </w:pPr>
      <w:r w:rsidRPr="009E3580">
        <w:rPr>
          <w:rFonts w:ascii="Century Gothic" w:hAnsi="Century Gothic"/>
          <w:sz w:val="22"/>
          <w:szCs w:val="22"/>
        </w:rPr>
        <w:t>Govt. Securities  in Excess of Mandatory SLR</w:t>
      </w:r>
    </w:p>
    <w:p w14:paraId="555F0420" w14:textId="77777777" w:rsidR="00CB60F4" w:rsidRPr="009E3580" w:rsidRDefault="00CB60F4" w:rsidP="00CB60F4">
      <w:pPr>
        <w:pStyle w:val="ListParagraph"/>
        <w:numPr>
          <w:ilvl w:val="0"/>
          <w:numId w:val="3"/>
        </w:numPr>
        <w:spacing w:line="276" w:lineRule="auto"/>
        <w:jc w:val="both"/>
        <w:rPr>
          <w:rFonts w:ascii="Century Gothic" w:hAnsi="Century Gothic"/>
          <w:sz w:val="22"/>
          <w:szCs w:val="22"/>
        </w:rPr>
      </w:pPr>
      <w:r w:rsidRPr="009E3580">
        <w:rPr>
          <w:rFonts w:ascii="Century Gothic" w:hAnsi="Century Gothic"/>
          <w:sz w:val="22"/>
          <w:szCs w:val="22"/>
        </w:rPr>
        <w:t>Marginal standing Facility up to 2% of Net Demand and Time Liabilities in the form of SLR securities.</w:t>
      </w:r>
    </w:p>
    <w:p w14:paraId="392E266D" w14:textId="77777777" w:rsidR="00CB60F4" w:rsidRDefault="00CB60F4" w:rsidP="00CB60F4">
      <w:pPr>
        <w:pStyle w:val="ListParagraph"/>
        <w:numPr>
          <w:ilvl w:val="0"/>
          <w:numId w:val="3"/>
        </w:numPr>
        <w:spacing w:after="240" w:line="276" w:lineRule="auto"/>
        <w:jc w:val="both"/>
        <w:rPr>
          <w:rFonts w:ascii="Century Gothic" w:hAnsi="Century Gothic"/>
          <w:sz w:val="22"/>
          <w:szCs w:val="22"/>
        </w:rPr>
      </w:pPr>
      <w:r w:rsidRPr="009E3580">
        <w:rPr>
          <w:rFonts w:ascii="Century Gothic" w:hAnsi="Century Gothic"/>
          <w:sz w:val="22"/>
          <w:szCs w:val="22"/>
        </w:rPr>
        <w:t>F</w:t>
      </w:r>
      <w:r>
        <w:rPr>
          <w:rFonts w:ascii="Century Gothic" w:hAnsi="Century Gothic"/>
          <w:sz w:val="22"/>
          <w:szCs w:val="22"/>
        </w:rPr>
        <w:t>acility to Avail Liquidity for L</w:t>
      </w:r>
      <w:r w:rsidRPr="009E3580">
        <w:rPr>
          <w:rFonts w:ascii="Century Gothic" w:hAnsi="Century Gothic"/>
          <w:sz w:val="22"/>
          <w:szCs w:val="22"/>
        </w:rPr>
        <w:t xml:space="preserve">iquidity Coverage Ratio up to </w:t>
      </w:r>
      <w:r w:rsidRPr="0065603F">
        <w:rPr>
          <w:rFonts w:ascii="Century Gothic" w:hAnsi="Century Gothic"/>
          <w:sz w:val="22"/>
          <w:szCs w:val="22"/>
        </w:rPr>
        <w:t>16%</w:t>
      </w:r>
      <w:r w:rsidRPr="009E3580">
        <w:rPr>
          <w:rFonts w:ascii="Century Gothic" w:hAnsi="Century Gothic"/>
          <w:sz w:val="22"/>
          <w:szCs w:val="22"/>
        </w:rPr>
        <w:t xml:space="preserve"> of Net Demand and Time Liabilities in the form of SLR securities.</w:t>
      </w:r>
    </w:p>
    <w:p w14:paraId="3A850588" w14:textId="77777777" w:rsidR="00CB60F4" w:rsidRPr="009E3580" w:rsidRDefault="00CB60F4" w:rsidP="00CB60F4">
      <w:pPr>
        <w:pStyle w:val="ListParagraph"/>
        <w:numPr>
          <w:ilvl w:val="0"/>
          <w:numId w:val="3"/>
        </w:numPr>
        <w:spacing w:after="240" w:line="276" w:lineRule="auto"/>
        <w:jc w:val="both"/>
        <w:rPr>
          <w:rFonts w:ascii="Century Gothic" w:hAnsi="Century Gothic"/>
          <w:sz w:val="22"/>
          <w:szCs w:val="22"/>
        </w:rPr>
      </w:pPr>
      <w:r>
        <w:rPr>
          <w:rFonts w:ascii="Century Gothic" w:hAnsi="Century Gothic"/>
          <w:sz w:val="22"/>
          <w:szCs w:val="22"/>
        </w:rPr>
        <w:t>Standing Deposit Facility</w:t>
      </w:r>
    </w:p>
    <w:p w14:paraId="1C31F565" w14:textId="77777777" w:rsidR="00CB60F4" w:rsidRPr="009E3580" w:rsidRDefault="00CB60F4" w:rsidP="00CB60F4">
      <w:pPr>
        <w:pStyle w:val="ListParagraph"/>
        <w:numPr>
          <w:ilvl w:val="0"/>
          <w:numId w:val="4"/>
        </w:numPr>
        <w:spacing w:after="240" w:line="276" w:lineRule="auto"/>
        <w:jc w:val="both"/>
        <w:rPr>
          <w:rFonts w:ascii="Century Gothic" w:hAnsi="Century Gothic"/>
          <w:b/>
          <w:sz w:val="22"/>
          <w:szCs w:val="22"/>
          <w:u w:val="single"/>
        </w:rPr>
      </w:pPr>
      <w:r w:rsidRPr="009E3580">
        <w:rPr>
          <w:rFonts w:ascii="Century Gothic" w:hAnsi="Century Gothic"/>
          <w:b/>
          <w:sz w:val="22"/>
          <w:szCs w:val="22"/>
          <w:u w:val="single"/>
        </w:rPr>
        <w:t>Level 2 Assets (Not issued by Banks/Financial Institution)</w:t>
      </w:r>
    </w:p>
    <w:p w14:paraId="439FE601" w14:textId="77777777" w:rsidR="00CB60F4" w:rsidRPr="009E3580" w:rsidRDefault="00CB60F4" w:rsidP="00CB60F4">
      <w:pPr>
        <w:pStyle w:val="ListParagraph"/>
        <w:numPr>
          <w:ilvl w:val="0"/>
          <w:numId w:val="4"/>
        </w:numPr>
        <w:spacing w:after="240" w:line="276" w:lineRule="auto"/>
        <w:jc w:val="both"/>
        <w:rPr>
          <w:rFonts w:ascii="Century Gothic" w:hAnsi="Century Gothic"/>
          <w:b/>
          <w:sz w:val="22"/>
          <w:szCs w:val="22"/>
          <w:u w:val="single"/>
        </w:rPr>
      </w:pPr>
      <w:r w:rsidRPr="009E3580">
        <w:rPr>
          <w:rFonts w:ascii="Century Gothic" w:hAnsi="Century Gothic"/>
          <w:b/>
          <w:sz w:val="22"/>
          <w:szCs w:val="22"/>
          <w:u w:val="single"/>
        </w:rPr>
        <w:t>Level 2A assets- With Haircut of 15%</w:t>
      </w:r>
    </w:p>
    <w:p w14:paraId="684784AF" w14:textId="77777777" w:rsidR="00CB60F4" w:rsidRPr="009E3580" w:rsidRDefault="00CB60F4" w:rsidP="00CB60F4">
      <w:pPr>
        <w:pStyle w:val="ListParagraph"/>
        <w:numPr>
          <w:ilvl w:val="0"/>
          <w:numId w:val="5"/>
        </w:numPr>
        <w:spacing w:after="120" w:line="276" w:lineRule="auto"/>
        <w:jc w:val="both"/>
        <w:rPr>
          <w:rFonts w:ascii="Century Gothic" w:hAnsi="Century Gothic"/>
          <w:sz w:val="22"/>
          <w:szCs w:val="22"/>
        </w:rPr>
      </w:pPr>
      <w:r w:rsidRPr="009E3580">
        <w:rPr>
          <w:rFonts w:ascii="Century Gothic" w:hAnsi="Century Gothic"/>
          <w:sz w:val="22"/>
          <w:szCs w:val="22"/>
        </w:rPr>
        <w:lastRenderedPageBreak/>
        <w:t xml:space="preserve">Marketable securities representing claims on or claims guaranteed by Sovereigns Public Sector Entities (PSEs)  having risk weight 20% </w:t>
      </w:r>
    </w:p>
    <w:p w14:paraId="1ABA22FD" w14:textId="77777777" w:rsidR="00CB60F4" w:rsidRDefault="00CB60F4" w:rsidP="00CB60F4">
      <w:pPr>
        <w:pStyle w:val="ListParagraph"/>
        <w:numPr>
          <w:ilvl w:val="0"/>
          <w:numId w:val="5"/>
        </w:numPr>
        <w:spacing w:after="60"/>
        <w:jc w:val="both"/>
        <w:rPr>
          <w:rFonts w:ascii="Century Gothic" w:hAnsi="Century Gothic"/>
          <w:sz w:val="22"/>
          <w:szCs w:val="22"/>
        </w:rPr>
      </w:pPr>
      <w:r w:rsidRPr="009E3580">
        <w:rPr>
          <w:rFonts w:ascii="Century Gothic" w:hAnsi="Century Gothic"/>
          <w:sz w:val="22"/>
          <w:szCs w:val="22"/>
        </w:rPr>
        <w:t>Corporate Bonds and Commercial Papers having minimum rating of AA-</w:t>
      </w:r>
    </w:p>
    <w:p w14:paraId="71DD0F96" w14:textId="77777777" w:rsidR="00CB60F4" w:rsidRDefault="00CB60F4" w:rsidP="00CB60F4">
      <w:pPr>
        <w:pStyle w:val="ListParagraph"/>
        <w:spacing w:after="60"/>
        <w:ind w:left="1080"/>
        <w:jc w:val="both"/>
        <w:rPr>
          <w:rFonts w:ascii="Century Gothic" w:hAnsi="Century Gothic"/>
          <w:sz w:val="22"/>
          <w:szCs w:val="22"/>
        </w:rPr>
      </w:pPr>
    </w:p>
    <w:p w14:paraId="48ABD8DD" w14:textId="77777777" w:rsidR="00CB60F4" w:rsidRPr="009E3580" w:rsidRDefault="00CB60F4" w:rsidP="00CB60F4">
      <w:pPr>
        <w:pStyle w:val="ListParagraph"/>
        <w:numPr>
          <w:ilvl w:val="0"/>
          <w:numId w:val="6"/>
        </w:numPr>
        <w:spacing w:after="120"/>
        <w:contextualSpacing/>
        <w:jc w:val="both"/>
        <w:rPr>
          <w:rFonts w:ascii="Century Gothic" w:hAnsi="Century Gothic"/>
          <w:sz w:val="22"/>
          <w:szCs w:val="22"/>
        </w:rPr>
      </w:pPr>
      <w:r w:rsidRPr="009E3580">
        <w:rPr>
          <w:rFonts w:ascii="Century Gothic" w:hAnsi="Century Gothic"/>
          <w:b/>
          <w:sz w:val="22"/>
          <w:szCs w:val="22"/>
          <w:u w:val="single"/>
        </w:rPr>
        <w:t>Level 2B assets –With Haircut of 50%</w:t>
      </w:r>
    </w:p>
    <w:p w14:paraId="03AB7B5E" w14:textId="77777777" w:rsidR="00CB60F4" w:rsidRPr="009E3580" w:rsidRDefault="00CB60F4" w:rsidP="00CB60F4">
      <w:pPr>
        <w:pStyle w:val="ListParagraph"/>
        <w:spacing w:after="120"/>
        <w:jc w:val="both"/>
        <w:rPr>
          <w:rFonts w:ascii="Century Gothic" w:hAnsi="Century Gothic"/>
          <w:sz w:val="22"/>
          <w:szCs w:val="22"/>
        </w:rPr>
      </w:pPr>
    </w:p>
    <w:p w14:paraId="64A879E5" w14:textId="77777777" w:rsidR="00CB60F4" w:rsidRDefault="00CB60F4" w:rsidP="00CB60F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Securities issued or guaranteed by sovereigns having risk weight higher than 20% but not higher than 50% (i.e. Bonds with Rating AA &amp; A)</w:t>
      </w:r>
    </w:p>
    <w:p w14:paraId="2E59419A" w14:textId="77777777" w:rsidR="00CB60F4" w:rsidRPr="004C4D9D" w:rsidRDefault="00CB60F4" w:rsidP="00CB60F4">
      <w:pPr>
        <w:pStyle w:val="ListParagraph"/>
        <w:spacing w:before="120" w:after="120"/>
        <w:ind w:left="922"/>
        <w:contextualSpacing/>
        <w:jc w:val="both"/>
        <w:rPr>
          <w:rFonts w:ascii="Century Gothic" w:hAnsi="Century Gothic"/>
          <w:sz w:val="22"/>
          <w:szCs w:val="22"/>
        </w:rPr>
      </w:pPr>
    </w:p>
    <w:p w14:paraId="31366AA4" w14:textId="77777777" w:rsidR="00CB60F4" w:rsidRPr="009E3580" w:rsidRDefault="00CB60F4" w:rsidP="00CB60F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Corporate Debt Securities (including Commercial Paper) having external rating between A+ and BBB-</w:t>
      </w:r>
    </w:p>
    <w:p w14:paraId="0FA5EA2D" w14:textId="77777777" w:rsidR="00CB60F4" w:rsidRPr="009E3580" w:rsidRDefault="00CB60F4" w:rsidP="00CB60F4">
      <w:pPr>
        <w:pStyle w:val="ListParagraph"/>
        <w:spacing w:after="120"/>
        <w:ind w:left="922"/>
        <w:jc w:val="both"/>
        <w:rPr>
          <w:rFonts w:ascii="Century Gothic" w:hAnsi="Century Gothic"/>
          <w:sz w:val="22"/>
          <w:szCs w:val="22"/>
        </w:rPr>
      </w:pPr>
    </w:p>
    <w:p w14:paraId="6B157698" w14:textId="77777777" w:rsidR="00CB60F4" w:rsidRPr="009E3580" w:rsidRDefault="00CB60F4" w:rsidP="00CB60F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Common Equity Shares Included in NSE CNX Nifty index and/or S&amp;P BSE Sensex index</w:t>
      </w:r>
    </w:p>
    <w:p w14:paraId="3173928A" w14:textId="77777777" w:rsidR="00CB60F4" w:rsidRDefault="00CB60F4" w:rsidP="00CB60F4">
      <w:pPr>
        <w:spacing w:before="120" w:after="120"/>
        <w:contextualSpacing/>
        <w:jc w:val="both"/>
        <w:rPr>
          <w:rFonts w:ascii="Century Gothic" w:hAnsi="Century Gothic"/>
          <w:b/>
          <w:bCs/>
        </w:rPr>
      </w:pPr>
    </w:p>
    <w:p w14:paraId="39C99292" w14:textId="77777777" w:rsidR="00CB60F4" w:rsidRDefault="00CB60F4" w:rsidP="00CB60F4">
      <w:pPr>
        <w:spacing w:before="120" w:after="120"/>
        <w:contextualSpacing/>
        <w:jc w:val="both"/>
        <w:rPr>
          <w:rFonts w:ascii="Century Gothic" w:hAnsi="Century Gothic"/>
        </w:rPr>
      </w:pPr>
      <w:r w:rsidRPr="002E2DA7">
        <w:rPr>
          <w:rFonts w:ascii="Century Gothic" w:hAnsi="Century Gothic"/>
          <w:b/>
          <w:bCs/>
        </w:rPr>
        <w:t xml:space="preserve">Composition of HQLA: </w:t>
      </w:r>
      <w:r w:rsidRPr="0009671C">
        <w:rPr>
          <w:rFonts w:ascii="Century Gothic" w:hAnsi="Century Gothic"/>
        </w:rPr>
        <w:t xml:space="preserve">The Bank during the three </w:t>
      </w:r>
      <w:r>
        <w:rPr>
          <w:rFonts w:ascii="Century Gothic" w:hAnsi="Century Gothic"/>
        </w:rPr>
        <w:t>months ended 31</w:t>
      </w:r>
      <w:r w:rsidRPr="0009671C">
        <w:rPr>
          <w:rFonts w:ascii="Century Gothic" w:hAnsi="Century Gothic"/>
          <w:vertAlign w:val="superscript"/>
        </w:rPr>
        <w:t>th</w:t>
      </w:r>
      <w:r w:rsidRPr="0009671C">
        <w:rPr>
          <w:rFonts w:ascii="Century Gothic" w:hAnsi="Century Gothic"/>
        </w:rPr>
        <w:t xml:space="preserve"> </w:t>
      </w:r>
      <w:r>
        <w:rPr>
          <w:rFonts w:ascii="Century Gothic" w:hAnsi="Century Gothic"/>
        </w:rPr>
        <w:t>Mar</w:t>
      </w:r>
      <w:r w:rsidRPr="0009671C">
        <w:rPr>
          <w:rFonts w:ascii="Century Gothic" w:hAnsi="Century Gothic"/>
        </w:rPr>
        <w:t xml:space="preserve"> 202</w:t>
      </w:r>
      <w:r>
        <w:rPr>
          <w:rFonts w:ascii="Century Gothic" w:hAnsi="Century Gothic"/>
        </w:rPr>
        <w:t>6</w:t>
      </w:r>
      <w:r w:rsidRPr="0009671C">
        <w:rPr>
          <w:rFonts w:ascii="Century Gothic" w:hAnsi="Century Gothic"/>
        </w:rPr>
        <w:t xml:space="preserve"> maintained average HQLA of </w:t>
      </w:r>
      <w:proofErr w:type="spellStart"/>
      <w:r w:rsidRPr="0009671C">
        <w:rPr>
          <w:rFonts w:ascii="Century Gothic" w:hAnsi="Century Gothic"/>
        </w:rPr>
        <w:t>Rs</w:t>
      </w:r>
      <w:proofErr w:type="spellEnd"/>
      <w:r w:rsidRPr="0009671C">
        <w:rPr>
          <w:rFonts w:ascii="Century Gothic" w:hAnsi="Century Gothic"/>
        </w:rPr>
        <w:t xml:space="preserve">. </w:t>
      </w:r>
      <w:r>
        <w:rPr>
          <w:rFonts w:ascii="Century Gothic" w:hAnsi="Century Gothic" w:cs="Calibri"/>
        </w:rPr>
        <w:t xml:space="preserve">68,275.68 </w:t>
      </w:r>
      <w:proofErr w:type="spellStart"/>
      <w:r w:rsidRPr="0009671C">
        <w:rPr>
          <w:rFonts w:ascii="Century Gothic" w:hAnsi="Century Gothic"/>
        </w:rPr>
        <w:t>crore</w:t>
      </w:r>
      <w:proofErr w:type="spellEnd"/>
      <w:r w:rsidRPr="0009671C">
        <w:rPr>
          <w:rFonts w:ascii="Century Gothic" w:hAnsi="Century Gothic"/>
        </w:rPr>
        <w:t xml:space="preserve"> of which Level 1 Assets contribute to approximately </w:t>
      </w:r>
      <w:r w:rsidRPr="0065603F">
        <w:rPr>
          <w:rFonts w:ascii="Century Gothic" w:hAnsi="Century Gothic"/>
        </w:rPr>
        <w:t>99.</w:t>
      </w:r>
      <w:r>
        <w:rPr>
          <w:rFonts w:ascii="Century Gothic" w:hAnsi="Century Gothic"/>
        </w:rPr>
        <w:t>57</w:t>
      </w:r>
      <w:r w:rsidRPr="0065603F">
        <w:rPr>
          <w:rFonts w:ascii="Century Gothic" w:hAnsi="Century Gothic"/>
        </w:rPr>
        <w:t>%</w:t>
      </w:r>
      <w:r w:rsidRPr="0009671C">
        <w:rPr>
          <w:rFonts w:ascii="Century Gothic" w:hAnsi="Century Gothic"/>
        </w:rPr>
        <w:t xml:space="preserve"> of the total stock of HQLA.</w:t>
      </w:r>
      <w:r>
        <w:rPr>
          <w:rFonts w:ascii="Century Gothic" w:hAnsi="Century Gothic"/>
        </w:rPr>
        <w:t xml:space="preserve"> Level 1 assets are more stable form of asset with no or lower haircut for meeting any cash </w:t>
      </w:r>
      <w:r w:rsidRPr="00EE02D4">
        <w:rPr>
          <w:rFonts w:ascii="Century Gothic" w:hAnsi="Century Gothic"/>
        </w:rPr>
        <w:t xml:space="preserve">outflow. Facility to avail Liquidity for Liquidity Coverage Ratio (FALLCR) constitutes the highest portion to HQLA i.e. around </w:t>
      </w:r>
      <w:r>
        <w:rPr>
          <w:rFonts w:ascii="Century Gothic" w:hAnsi="Century Gothic"/>
        </w:rPr>
        <w:t>72.59</w:t>
      </w:r>
      <w:r w:rsidRPr="006B422D">
        <w:rPr>
          <w:rFonts w:ascii="Century Gothic" w:hAnsi="Century Gothic"/>
        </w:rPr>
        <w:t>%</w:t>
      </w:r>
      <w:r w:rsidRPr="00EE02D4">
        <w:rPr>
          <w:rFonts w:ascii="Century Gothic" w:hAnsi="Century Gothic"/>
        </w:rPr>
        <w:t xml:space="preserve"> approx. of th</w:t>
      </w:r>
      <w:r>
        <w:rPr>
          <w:rFonts w:ascii="Century Gothic" w:hAnsi="Century Gothic"/>
        </w:rPr>
        <w:t>e total average HQLA quarter ended 31.03.2026</w:t>
      </w:r>
      <w:r w:rsidRPr="00EE02D4">
        <w:rPr>
          <w:rFonts w:ascii="Century Gothic" w:hAnsi="Century Gothic"/>
        </w:rPr>
        <w:t>.</w:t>
      </w:r>
      <w:r>
        <w:rPr>
          <w:rFonts w:ascii="Century Gothic" w:hAnsi="Century Gothic"/>
        </w:rPr>
        <w:t xml:space="preserve"> (FALLCR and MSF constitutes 81.40% of Total Weighted HQLA)</w:t>
      </w:r>
    </w:p>
    <w:p w14:paraId="0508CE19" w14:textId="77777777" w:rsidR="00CB60F4" w:rsidRDefault="00CB60F4" w:rsidP="00CB60F4">
      <w:pPr>
        <w:spacing w:before="120" w:after="120"/>
        <w:contextualSpacing/>
        <w:jc w:val="both"/>
        <w:rPr>
          <w:rFonts w:ascii="Century Gothic" w:hAnsi="Century Gothic"/>
        </w:rPr>
      </w:pPr>
    </w:p>
    <w:p w14:paraId="3DD74D81" w14:textId="77777777" w:rsidR="00CB60F4" w:rsidRDefault="00CB60F4" w:rsidP="00CB60F4">
      <w:pPr>
        <w:spacing w:before="120" w:after="120"/>
        <w:contextualSpacing/>
        <w:jc w:val="both"/>
        <w:rPr>
          <w:rFonts w:ascii="Century Gothic" w:hAnsi="Century Gothic"/>
        </w:rPr>
      </w:pPr>
      <w:r w:rsidRPr="00E732BB">
        <w:rPr>
          <w:rFonts w:ascii="Century Gothic" w:hAnsi="Century Gothic"/>
        </w:rPr>
        <w:t xml:space="preserve">Level 2 assets which are lower in quality as compared to Level 1 assets. Bank is having low reliance on Level 2 assets. Hence, 2A, 2B Assets having higher hair cut as compared to the Level 1 Asset constituting </w:t>
      </w:r>
      <w:r w:rsidRPr="0065603F">
        <w:rPr>
          <w:rFonts w:ascii="Century Gothic" w:hAnsi="Century Gothic"/>
        </w:rPr>
        <w:t>0.4</w:t>
      </w:r>
      <w:r>
        <w:rPr>
          <w:rFonts w:ascii="Century Gothic" w:hAnsi="Century Gothic"/>
        </w:rPr>
        <w:t>3</w:t>
      </w:r>
      <w:r w:rsidRPr="0065603F">
        <w:rPr>
          <w:rFonts w:ascii="Century Gothic" w:hAnsi="Century Gothic"/>
        </w:rPr>
        <w:t>%</w:t>
      </w:r>
      <w:r w:rsidRPr="00E732BB">
        <w:rPr>
          <w:rFonts w:ascii="Century Gothic" w:hAnsi="Century Gothic"/>
        </w:rPr>
        <w:t xml:space="preserve"> of the</w:t>
      </w:r>
      <w:r>
        <w:rPr>
          <w:rFonts w:ascii="Century Gothic" w:hAnsi="Century Gothic"/>
        </w:rPr>
        <w:t xml:space="preserve"> total weighted HQLA as on 31.03.2026</w:t>
      </w:r>
      <w:r w:rsidRPr="00E732BB">
        <w:rPr>
          <w:rFonts w:ascii="Century Gothic" w:hAnsi="Century Gothic"/>
        </w:rPr>
        <w:t xml:space="preserve"> against maximum permissible level of </w:t>
      </w:r>
      <w:r w:rsidRPr="0065603F">
        <w:rPr>
          <w:rFonts w:ascii="Century Gothic" w:hAnsi="Century Gothic"/>
        </w:rPr>
        <w:t>40%.</w:t>
      </w:r>
      <w:r>
        <w:rPr>
          <w:rFonts w:ascii="Century Gothic" w:hAnsi="Century Gothic"/>
        </w:rPr>
        <w:t xml:space="preserve">  </w:t>
      </w:r>
    </w:p>
    <w:p w14:paraId="07C51F17" w14:textId="77777777" w:rsidR="00CB60F4" w:rsidRDefault="00CB60F4" w:rsidP="00CB60F4">
      <w:pPr>
        <w:spacing w:before="120" w:after="120"/>
        <w:contextualSpacing/>
        <w:jc w:val="both"/>
        <w:rPr>
          <w:rFonts w:ascii="Century Gothic" w:hAnsi="Century Gothic"/>
        </w:rPr>
      </w:pPr>
    </w:p>
    <w:p w14:paraId="304664F0" w14:textId="77777777" w:rsidR="00CB60F4" w:rsidRDefault="00CB60F4" w:rsidP="00CB60F4">
      <w:pPr>
        <w:spacing w:before="120" w:after="120"/>
        <w:contextualSpacing/>
        <w:jc w:val="both"/>
        <w:rPr>
          <w:rFonts w:ascii="Century Gothic" w:hAnsi="Century Gothic"/>
        </w:rPr>
      </w:pPr>
      <w:r w:rsidRPr="002E2DA7">
        <w:rPr>
          <w:rFonts w:ascii="Century Gothic" w:hAnsi="Century Gothic"/>
          <w:b/>
          <w:bCs/>
        </w:rPr>
        <w:t>Concentration of Funding Sources:</w:t>
      </w:r>
      <w:r>
        <w:rPr>
          <w:rFonts w:ascii="Century Gothic" w:hAnsi="Century Gothic"/>
        </w:rPr>
        <w:t xml:space="preserve"> Our Funding sources is well</w:t>
      </w:r>
      <w:r w:rsidRPr="009E3580">
        <w:rPr>
          <w:rFonts w:ascii="Century Gothic" w:hAnsi="Century Gothic"/>
        </w:rPr>
        <w:t xml:space="preserve"> diversified comprising main</w:t>
      </w:r>
      <w:r>
        <w:rPr>
          <w:rFonts w:ascii="Century Gothic" w:hAnsi="Century Gothic"/>
        </w:rPr>
        <w:t xml:space="preserve">ly </w:t>
      </w:r>
      <w:proofErr w:type="gramStart"/>
      <w:r>
        <w:rPr>
          <w:rFonts w:ascii="Century Gothic" w:hAnsi="Century Gothic"/>
        </w:rPr>
        <w:t>of :</w:t>
      </w:r>
      <w:proofErr w:type="gramEnd"/>
    </w:p>
    <w:p w14:paraId="179B0BC7" w14:textId="77777777" w:rsidR="00CB60F4" w:rsidRPr="009E3580" w:rsidRDefault="00CB60F4" w:rsidP="00CB60F4">
      <w:pPr>
        <w:pStyle w:val="ListParagraph"/>
        <w:numPr>
          <w:ilvl w:val="0"/>
          <w:numId w:val="10"/>
        </w:numPr>
        <w:spacing w:before="120" w:after="120"/>
        <w:contextualSpacing/>
        <w:jc w:val="both"/>
        <w:rPr>
          <w:rFonts w:ascii="Century Gothic" w:hAnsi="Century Gothic"/>
          <w:sz w:val="22"/>
          <w:szCs w:val="22"/>
        </w:rPr>
      </w:pPr>
      <w:r w:rsidRPr="009E3580">
        <w:rPr>
          <w:rFonts w:ascii="Century Gothic" w:hAnsi="Century Gothic"/>
        </w:rPr>
        <w:t xml:space="preserve">Non-maturing deposits </w:t>
      </w:r>
      <w:r>
        <w:rPr>
          <w:rFonts w:ascii="Century Gothic" w:hAnsi="Century Gothic"/>
        </w:rPr>
        <w:t>(Current Deposit/ Saving Deposit)</w:t>
      </w:r>
    </w:p>
    <w:p w14:paraId="321F9ACC" w14:textId="77777777" w:rsidR="00CB60F4" w:rsidRPr="002E2DA7" w:rsidRDefault="00CB60F4" w:rsidP="00CB60F4">
      <w:pPr>
        <w:pStyle w:val="ListParagraph"/>
        <w:numPr>
          <w:ilvl w:val="0"/>
          <w:numId w:val="10"/>
        </w:numPr>
        <w:spacing w:before="120" w:after="120"/>
        <w:contextualSpacing/>
        <w:jc w:val="both"/>
        <w:rPr>
          <w:rFonts w:ascii="Century Gothic" w:hAnsi="Century Gothic"/>
          <w:sz w:val="22"/>
          <w:szCs w:val="22"/>
        </w:rPr>
      </w:pPr>
      <w:r w:rsidRPr="009E3580">
        <w:rPr>
          <w:rFonts w:ascii="Century Gothic" w:hAnsi="Century Gothic"/>
        </w:rPr>
        <w:t>Term Deposit of which majority portion is from Retail Customers</w:t>
      </w:r>
      <w:r>
        <w:rPr>
          <w:rFonts w:ascii="Century Gothic" w:hAnsi="Century Gothic"/>
        </w:rPr>
        <w:t>.</w:t>
      </w:r>
    </w:p>
    <w:p w14:paraId="01826538" w14:textId="77777777" w:rsidR="00CB60F4" w:rsidRPr="00930315" w:rsidRDefault="00CB60F4" w:rsidP="00CB60F4">
      <w:pPr>
        <w:spacing w:before="120" w:after="120"/>
        <w:contextualSpacing/>
        <w:jc w:val="both"/>
        <w:rPr>
          <w:rFonts w:ascii="Century Gothic" w:hAnsi="Century Gothic"/>
        </w:rPr>
      </w:pPr>
    </w:p>
    <w:p w14:paraId="0271D869" w14:textId="77777777" w:rsidR="00CB60F4" w:rsidRPr="00647C49" w:rsidRDefault="00CB60F4" w:rsidP="00CB60F4">
      <w:pPr>
        <w:spacing w:before="120" w:after="120"/>
        <w:contextualSpacing/>
        <w:jc w:val="both"/>
        <w:rPr>
          <w:rFonts w:ascii="Century Gothic" w:hAnsi="Century Gothic"/>
        </w:rPr>
      </w:pPr>
      <w:r w:rsidRPr="00647C49">
        <w:rPr>
          <w:rFonts w:ascii="Century Gothic" w:hAnsi="Century Gothic"/>
          <w:b/>
          <w:bCs/>
        </w:rPr>
        <w:t>Funding Profile</w:t>
      </w:r>
      <w:r w:rsidRPr="00647C49">
        <w:rPr>
          <w:rFonts w:ascii="Century Gothic" w:hAnsi="Century Gothic"/>
        </w:rPr>
        <w:t>: Retail Deposits along with Deposits from Small Business Customer put together contribute around 24.71% of total weighted Cash outflow (60.46% of total un-weighted Cash outflow) as on 31.03.2026. Deposits from Non-financial Corporates, Central Banks, Multilateral development banks and PSEs contribute to 35.34% of total weighted Cash outflows (18.03% of total un-weighted Cash outflows) as on 31.03.2026.</w:t>
      </w:r>
    </w:p>
    <w:p w14:paraId="6487D70F" w14:textId="77777777" w:rsidR="00CB60F4" w:rsidRPr="00930315" w:rsidRDefault="00CB60F4" w:rsidP="00CB60F4">
      <w:pPr>
        <w:spacing w:before="120" w:after="120"/>
        <w:contextualSpacing/>
        <w:jc w:val="both"/>
        <w:rPr>
          <w:rFonts w:ascii="Century Gothic" w:hAnsi="Century Gothic"/>
        </w:rPr>
      </w:pPr>
    </w:p>
    <w:p w14:paraId="4A525883" w14:textId="77777777" w:rsidR="00CB60F4" w:rsidRPr="002E4E83" w:rsidRDefault="00CB60F4" w:rsidP="00CB60F4">
      <w:pPr>
        <w:spacing w:before="120" w:after="120"/>
        <w:contextualSpacing/>
        <w:jc w:val="both"/>
        <w:rPr>
          <w:rFonts w:ascii="Century Gothic" w:hAnsi="Century Gothic"/>
        </w:rPr>
      </w:pPr>
      <w:r w:rsidRPr="00AF0A17">
        <w:rPr>
          <w:rFonts w:ascii="Century Gothic" w:hAnsi="Century Gothic"/>
        </w:rPr>
        <w:t xml:space="preserve">The percentage of </w:t>
      </w:r>
      <w:proofErr w:type="spellStart"/>
      <w:r w:rsidRPr="00AF0A17">
        <w:rPr>
          <w:rFonts w:ascii="Century Gothic" w:hAnsi="Century Gothic"/>
        </w:rPr>
        <w:t>Unweighted</w:t>
      </w:r>
      <w:proofErr w:type="spellEnd"/>
      <w:r w:rsidRPr="00AF0A17">
        <w:rPr>
          <w:rFonts w:ascii="Century Gothic" w:hAnsi="Century Gothic"/>
        </w:rPr>
        <w:t xml:space="preserve"> Liability from Other Legal entity to Total Un-weighted Cash outflows stood at </w:t>
      </w:r>
      <w:r>
        <w:rPr>
          <w:rFonts w:ascii="Century Gothic" w:hAnsi="Century Gothic"/>
        </w:rPr>
        <w:t>6.94</w:t>
      </w:r>
      <w:r w:rsidRPr="002A5732">
        <w:rPr>
          <w:rFonts w:ascii="Century Gothic" w:hAnsi="Century Gothic"/>
        </w:rPr>
        <w:t>%</w:t>
      </w:r>
      <w:r>
        <w:rPr>
          <w:rFonts w:ascii="Century Gothic" w:hAnsi="Century Gothic"/>
        </w:rPr>
        <w:t xml:space="preserve"> as on 31.03.2026</w:t>
      </w:r>
    </w:p>
    <w:p w14:paraId="541A870F" w14:textId="77777777" w:rsidR="00CB60F4" w:rsidRPr="002E4E83" w:rsidRDefault="00CB60F4" w:rsidP="00CB60F4">
      <w:pPr>
        <w:spacing w:before="120" w:after="120"/>
        <w:contextualSpacing/>
        <w:jc w:val="both"/>
        <w:rPr>
          <w:rFonts w:ascii="Century Gothic" w:hAnsi="Century Gothic"/>
        </w:rPr>
      </w:pPr>
    </w:p>
    <w:p w14:paraId="438D0E8B" w14:textId="77777777" w:rsidR="00893352" w:rsidRDefault="00CB60F4" w:rsidP="00CB60F4">
      <w:pPr>
        <w:spacing w:before="120" w:after="120"/>
        <w:contextualSpacing/>
        <w:jc w:val="both"/>
        <w:rPr>
          <w:rFonts w:ascii="Century Gothic" w:hAnsi="Century Gothic"/>
        </w:rPr>
      </w:pPr>
      <w:r>
        <w:rPr>
          <w:rFonts w:ascii="Century Gothic" w:hAnsi="Century Gothic"/>
        </w:rPr>
        <w:t>Bank ha</w:t>
      </w:r>
      <w:r w:rsidRPr="002E4E83">
        <w:rPr>
          <w:rFonts w:ascii="Century Gothic" w:hAnsi="Century Gothic"/>
        </w:rPr>
        <w:t xml:space="preserve">s </w:t>
      </w:r>
      <w:r>
        <w:rPr>
          <w:rFonts w:ascii="Century Gothic" w:hAnsi="Century Gothic"/>
        </w:rPr>
        <w:t xml:space="preserve">ceiling limit capped for sources of Deposit profile as per LCR categories. Bank is also </w:t>
      </w:r>
      <w:r w:rsidRPr="002E4E83">
        <w:rPr>
          <w:rFonts w:ascii="Century Gothic" w:hAnsi="Century Gothic"/>
        </w:rPr>
        <w:t xml:space="preserve">monitoring the funding sources on regular interval with the objective to monitor/reduce the concentration of funds having lower stability. </w:t>
      </w:r>
    </w:p>
    <w:p w14:paraId="50A381DF" w14:textId="1573D187" w:rsidR="00CB60F4" w:rsidRDefault="00CB60F4" w:rsidP="00CB60F4">
      <w:pPr>
        <w:spacing w:before="120" w:after="120"/>
        <w:contextualSpacing/>
        <w:jc w:val="both"/>
        <w:rPr>
          <w:rFonts w:ascii="Century Gothic" w:hAnsi="Century Gothic"/>
        </w:rPr>
      </w:pPr>
      <w:r w:rsidRPr="002E4E83">
        <w:rPr>
          <w:rFonts w:ascii="Century Gothic" w:hAnsi="Century Gothic"/>
        </w:rPr>
        <w:lastRenderedPageBreak/>
        <w:t>Bank also monitors the concentration of top 20 depositors on regular intervals.</w:t>
      </w:r>
      <w:r>
        <w:rPr>
          <w:rFonts w:ascii="Century Gothic" w:hAnsi="Century Gothic"/>
        </w:rPr>
        <w:t xml:space="preserve"> Bank is also conducting Stress testing and Reverse Stress testing based on LCR.</w:t>
      </w:r>
    </w:p>
    <w:p w14:paraId="2BBA382E" w14:textId="77777777" w:rsidR="00CB60F4" w:rsidRDefault="00CB60F4" w:rsidP="00CB60F4">
      <w:pPr>
        <w:spacing w:before="120" w:after="120"/>
        <w:contextualSpacing/>
        <w:jc w:val="both"/>
        <w:rPr>
          <w:rFonts w:ascii="Century Gothic" w:hAnsi="Century Gothic"/>
        </w:rPr>
      </w:pPr>
    </w:p>
    <w:p w14:paraId="220A1355" w14:textId="77777777" w:rsidR="00CB60F4" w:rsidRDefault="00CB60F4" w:rsidP="00CB60F4">
      <w:pPr>
        <w:spacing w:before="120" w:after="120"/>
        <w:contextualSpacing/>
        <w:jc w:val="both"/>
        <w:rPr>
          <w:rFonts w:ascii="Century Gothic" w:hAnsi="Century Gothic"/>
        </w:rPr>
      </w:pPr>
      <w:r w:rsidRPr="004A722C">
        <w:rPr>
          <w:rFonts w:ascii="Century Gothic" w:hAnsi="Century Gothic"/>
          <w:b/>
          <w:bCs/>
        </w:rPr>
        <w:t xml:space="preserve">Derivative exposures and potential collateral calls: </w:t>
      </w:r>
      <w:r w:rsidRPr="004A722C">
        <w:rPr>
          <w:rFonts w:ascii="Century Gothic" w:hAnsi="Century Gothic"/>
        </w:rPr>
        <w:t xml:space="preserve">Derivative exposure is shown as Net Derivative cash inflows and outflows within </w:t>
      </w:r>
      <w:r>
        <w:rPr>
          <w:rFonts w:ascii="Century Gothic" w:hAnsi="Century Gothic"/>
        </w:rPr>
        <w:t xml:space="preserve">for derivative contracts maturing within </w:t>
      </w:r>
      <w:r w:rsidRPr="004A722C">
        <w:rPr>
          <w:rFonts w:ascii="Century Gothic" w:hAnsi="Century Gothic"/>
        </w:rPr>
        <w:t xml:space="preserve">30 days. </w:t>
      </w:r>
    </w:p>
    <w:p w14:paraId="77945674" w14:textId="77777777" w:rsidR="00CB60F4" w:rsidRDefault="00CB60F4" w:rsidP="00CB60F4">
      <w:pPr>
        <w:spacing w:before="120" w:after="120"/>
        <w:contextualSpacing/>
        <w:jc w:val="both"/>
        <w:rPr>
          <w:rFonts w:ascii="Century Gothic" w:hAnsi="Century Gothic"/>
        </w:rPr>
      </w:pPr>
    </w:p>
    <w:p w14:paraId="10C59149" w14:textId="77777777" w:rsidR="00CB60F4" w:rsidRDefault="00CB60F4" w:rsidP="00CB60F4">
      <w:pPr>
        <w:spacing w:before="120" w:after="120"/>
        <w:contextualSpacing/>
        <w:jc w:val="both"/>
        <w:rPr>
          <w:rFonts w:ascii="Century Gothic" w:hAnsi="Century Gothic"/>
        </w:rPr>
      </w:pPr>
      <w:r>
        <w:rPr>
          <w:rFonts w:ascii="Century Gothic" w:hAnsi="Century Gothic"/>
          <w:b/>
          <w:bCs/>
        </w:rPr>
        <w:t>Currency mismatch in the LCR:</w:t>
      </w:r>
      <w:r w:rsidRPr="004A722C">
        <w:rPr>
          <w:rFonts w:ascii="Century Gothic" w:hAnsi="Century Gothic"/>
          <w:b/>
          <w:bCs/>
        </w:rPr>
        <w:t xml:space="preserve"> </w:t>
      </w:r>
      <w:r w:rsidRPr="004A722C">
        <w:rPr>
          <w:rFonts w:ascii="Century Gothic" w:hAnsi="Century Gothic"/>
        </w:rPr>
        <w:t>As per the RBI guidelines</w:t>
      </w:r>
      <w:r>
        <w:rPr>
          <w:rFonts w:ascii="Century Gothic" w:hAnsi="Century Gothic"/>
        </w:rPr>
        <w:t xml:space="preserve"> </w:t>
      </w:r>
      <w:r w:rsidRPr="004A722C">
        <w:rPr>
          <w:rFonts w:ascii="Century Gothic" w:hAnsi="Century Gothic"/>
        </w:rPr>
        <w:t>the LCR standard is required to be met on one single currency</w:t>
      </w:r>
      <w:r>
        <w:rPr>
          <w:rFonts w:ascii="Century Gothic" w:hAnsi="Century Gothic"/>
        </w:rPr>
        <w:t xml:space="preserve"> and</w:t>
      </w:r>
      <w:r w:rsidRPr="004A722C">
        <w:rPr>
          <w:rFonts w:ascii="Century Gothic" w:hAnsi="Century Gothic"/>
        </w:rPr>
        <w:t xml:space="preserve"> in order to better capture potential currency mismatch the LCR in each currency needs to be monitored. Accordingly, Bank is maintaining LCR on daily basis in INR</w:t>
      </w:r>
      <w:r>
        <w:rPr>
          <w:rFonts w:ascii="Century Gothic" w:hAnsi="Century Gothic"/>
        </w:rPr>
        <w:t xml:space="preserve"> which is as per</w:t>
      </w:r>
      <w:r w:rsidRPr="004A722C">
        <w:rPr>
          <w:rFonts w:ascii="Century Gothic" w:hAnsi="Century Gothic"/>
        </w:rPr>
        <w:t xml:space="preserve"> the regulatory requirement</w:t>
      </w:r>
      <w:r>
        <w:rPr>
          <w:rFonts w:ascii="Century Gothic" w:hAnsi="Century Gothic"/>
        </w:rPr>
        <w:t xml:space="preserve"> of RBI</w:t>
      </w:r>
      <w:r w:rsidRPr="004A722C">
        <w:rPr>
          <w:rFonts w:ascii="Century Gothic" w:hAnsi="Century Gothic"/>
        </w:rPr>
        <w:t xml:space="preserve">. </w:t>
      </w:r>
      <w:r>
        <w:rPr>
          <w:rFonts w:ascii="Century Gothic" w:hAnsi="Century Gothic"/>
        </w:rPr>
        <w:t>Bank also monitors liquidity ratio as prescribed by the respective regulators of its Overseas Centers at Hong Kong and Singapore.</w:t>
      </w:r>
    </w:p>
    <w:p w14:paraId="06635BA4" w14:textId="77777777" w:rsidR="00CB60F4" w:rsidRDefault="00CB60F4" w:rsidP="00CB60F4">
      <w:pPr>
        <w:spacing w:before="120" w:after="120"/>
        <w:contextualSpacing/>
        <w:jc w:val="both"/>
        <w:rPr>
          <w:rFonts w:ascii="Century Gothic" w:hAnsi="Century Gothic"/>
        </w:rPr>
      </w:pPr>
    </w:p>
    <w:p w14:paraId="2CBF45F2" w14:textId="77777777" w:rsidR="00CB60F4" w:rsidRDefault="00CB60F4" w:rsidP="00CB60F4">
      <w:pPr>
        <w:spacing w:before="120" w:after="120"/>
        <w:contextualSpacing/>
        <w:jc w:val="both"/>
        <w:rPr>
          <w:rFonts w:ascii="Century Gothic" w:hAnsi="Century Gothic"/>
        </w:rPr>
      </w:pPr>
      <w:r w:rsidRPr="004A722C">
        <w:rPr>
          <w:rFonts w:ascii="Century Gothic" w:hAnsi="Century Gothic"/>
          <w:b/>
          <w:bCs/>
        </w:rPr>
        <w:t>A description of the degree of centralization of liquidity management and interaction between the group’s units</w:t>
      </w:r>
      <w:r w:rsidRPr="004A722C">
        <w:rPr>
          <w:rFonts w:ascii="Century Gothic" w:hAnsi="Century Gothic"/>
        </w:rPr>
        <w:t xml:space="preserve">: </w:t>
      </w:r>
    </w:p>
    <w:p w14:paraId="40EB2490" w14:textId="77777777" w:rsidR="00CB60F4" w:rsidRDefault="00CB60F4" w:rsidP="00CB60F4">
      <w:pPr>
        <w:spacing w:before="120" w:after="120"/>
        <w:contextualSpacing/>
        <w:jc w:val="both"/>
        <w:rPr>
          <w:rFonts w:ascii="Century Gothic" w:hAnsi="Century Gothic"/>
        </w:rPr>
      </w:pPr>
    </w:p>
    <w:p w14:paraId="17E68560" w14:textId="77777777" w:rsidR="00CB60F4" w:rsidRDefault="00CB60F4" w:rsidP="00CB60F4">
      <w:pPr>
        <w:spacing w:before="120" w:after="120"/>
        <w:contextualSpacing/>
        <w:jc w:val="both"/>
        <w:rPr>
          <w:rFonts w:ascii="Century Gothic" w:hAnsi="Century Gothic"/>
        </w:rPr>
      </w:pPr>
      <w:r w:rsidRPr="004A722C">
        <w:rPr>
          <w:rFonts w:ascii="Century Gothic" w:hAnsi="Century Gothic"/>
        </w:rPr>
        <w:t xml:space="preserve">The liquidity management for the bank </w:t>
      </w:r>
      <w:r>
        <w:rPr>
          <w:rFonts w:ascii="Century Gothic" w:hAnsi="Century Gothic"/>
        </w:rPr>
        <w:t xml:space="preserve">is guided by the Board Approved ALM Policy which is reviewed by the Board on an annual basis. ALM Cell under Risk Management Department of Head Office prepares various liquidity related reports and places the same before Investment Committee (IC) on a daily basis. Monthly liquidity related reports are placed before the Asset Liability Management Committee (ALCO) on monthly basis and before Risk Management Committee of Board (RMCB) on quarterly basis. </w:t>
      </w:r>
      <w:proofErr w:type="spellStart"/>
      <w:r>
        <w:rPr>
          <w:rFonts w:ascii="Century Gothic" w:hAnsi="Century Gothic"/>
        </w:rPr>
        <w:t>Intra day</w:t>
      </w:r>
      <w:proofErr w:type="spellEnd"/>
      <w:r>
        <w:rPr>
          <w:rFonts w:ascii="Century Gothic" w:hAnsi="Century Gothic"/>
        </w:rPr>
        <w:t xml:space="preserve"> liquidity management is managed by Treasury Department and the same is presented   before Investment Committee (IC) on a daily basis and before Asset Liability Committee (ALCO) on a quarterly basis.</w:t>
      </w:r>
    </w:p>
    <w:p w14:paraId="01977E48" w14:textId="77777777" w:rsidR="00CB60F4" w:rsidRDefault="00CB60F4" w:rsidP="00CB60F4">
      <w:pPr>
        <w:spacing w:before="120" w:after="120"/>
        <w:contextualSpacing/>
        <w:jc w:val="both"/>
        <w:rPr>
          <w:rFonts w:ascii="Century Gothic" w:hAnsi="Century Gothic"/>
        </w:rPr>
      </w:pPr>
      <w:r>
        <w:rPr>
          <w:rFonts w:ascii="Century Gothic" w:hAnsi="Century Gothic"/>
        </w:rPr>
        <w:t>Bank also has in place Contingency Funding plan (CFP) as outlined in the Board approved ALM Policy which outlines the course of actions in case of a breach in liquidity ratios.</w:t>
      </w:r>
    </w:p>
    <w:p w14:paraId="2BD451CC" w14:textId="77777777" w:rsidR="00CB60F4" w:rsidRDefault="00CB60F4" w:rsidP="00CB60F4">
      <w:pPr>
        <w:spacing w:before="120" w:after="120"/>
        <w:contextualSpacing/>
        <w:jc w:val="both"/>
        <w:rPr>
          <w:rFonts w:ascii="Century Gothic" w:hAnsi="Century Gothic"/>
        </w:rPr>
      </w:pPr>
    </w:p>
    <w:p w14:paraId="0B52B716" w14:textId="77777777" w:rsidR="00CB60F4" w:rsidRDefault="00CB60F4" w:rsidP="00CB60F4">
      <w:pPr>
        <w:spacing w:before="120" w:after="120"/>
        <w:contextualSpacing/>
        <w:jc w:val="both"/>
        <w:rPr>
          <w:rFonts w:ascii="Century Gothic" w:hAnsi="Century Gothic"/>
          <w:b/>
          <w:bCs/>
        </w:rPr>
      </w:pPr>
      <w:r w:rsidRPr="00932FDF">
        <w:rPr>
          <w:rFonts w:ascii="Century Gothic" w:hAnsi="Century Gothic"/>
          <w:b/>
          <w:bCs/>
        </w:rPr>
        <w:t>Other inflows and outflows in the LCR calculation that are not captured in the LCR common template but which the institution considers to be relevant for its li</w:t>
      </w:r>
      <w:r>
        <w:rPr>
          <w:rFonts w:ascii="Century Gothic" w:hAnsi="Century Gothic"/>
          <w:b/>
          <w:bCs/>
        </w:rPr>
        <w:t>quidity profile</w:t>
      </w:r>
      <w:r w:rsidRPr="00932FDF">
        <w:rPr>
          <w:rFonts w:ascii="Century Gothic" w:hAnsi="Century Gothic"/>
          <w:b/>
          <w:bCs/>
        </w:rPr>
        <w:t>:</w:t>
      </w:r>
    </w:p>
    <w:p w14:paraId="7F4679E7" w14:textId="77777777" w:rsidR="00CB60F4" w:rsidRDefault="00CB60F4" w:rsidP="00CB60F4">
      <w:pPr>
        <w:spacing w:before="120" w:after="120"/>
        <w:contextualSpacing/>
        <w:jc w:val="both"/>
        <w:rPr>
          <w:rFonts w:ascii="Century Gothic" w:hAnsi="Century Gothic"/>
          <w:b/>
          <w:bCs/>
        </w:rPr>
      </w:pPr>
    </w:p>
    <w:p w14:paraId="4DBF903C" w14:textId="77777777" w:rsidR="00CB60F4" w:rsidRDefault="00CB60F4" w:rsidP="00CB60F4">
      <w:pPr>
        <w:spacing w:before="120" w:after="120"/>
        <w:contextualSpacing/>
        <w:jc w:val="both"/>
        <w:rPr>
          <w:rFonts w:ascii="Century Gothic" w:hAnsi="Century Gothic"/>
        </w:rPr>
      </w:pPr>
      <w:r w:rsidRPr="00E73A1B">
        <w:rPr>
          <w:rFonts w:ascii="Century Gothic" w:hAnsi="Century Gothic"/>
        </w:rPr>
        <w:t>All inflows and outflows relevant to liquid</w:t>
      </w:r>
      <w:r>
        <w:rPr>
          <w:rFonts w:ascii="Century Gothic" w:hAnsi="Century Gothic"/>
        </w:rPr>
        <w:t>i</w:t>
      </w:r>
      <w:r w:rsidRPr="00E73A1B">
        <w:rPr>
          <w:rFonts w:ascii="Century Gothic" w:hAnsi="Century Gothic"/>
        </w:rPr>
        <w:t>ty profile of the bank are being captured in the above template</w:t>
      </w:r>
    </w:p>
    <w:p w14:paraId="490D32E0" w14:textId="77777777" w:rsidR="00CB60F4" w:rsidRDefault="00CB60F4" w:rsidP="00CB60F4">
      <w:pPr>
        <w:spacing w:before="120" w:after="120"/>
        <w:contextualSpacing/>
        <w:jc w:val="both"/>
        <w:rPr>
          <w:rFonts w:ascii="Century Gothic" w:hAnsi="Century Gothic"/>
          <w:b/>
          <w:bCs/>
        </w:rPr>
      </w:pPr>
    </w:p>
    <w:p w14:paraId="1D51E682" w14:textId="7D6C58F0" w:rsidR="00752F06" w:rsidRPr="00752F06" w:rsidRDefault="00752F06" w:rsidP="00752F06">
      <w:pPr>
        <w:spacing w:before="120" w:after="120"/>
        <w:contextualSpacing/>
        <w:jc w:val="both"/>
        <w:rPr>
          <w:rFonts w:ascii="Century Gothic" w:hAnsi="Century Gothic"/>
          <w:b/>
          <w:bCs/>
        </w:rPr>
      </w:pPr>
      <w:r w:rsidRPr="00752F06">
        <w:rPr>
          <w:rFonts w:ascii="Century Gothic" w:hAnsi="Century Gothic"/>
          <w:b/>
          <w:bCs/>
        </w:rPr>
        <w:t>Changes in High Quality Liquid Assets (HQLA):</w:t>
      </w:r>
    </w:p>
    <w:p w14:paraId="77CBF42D" w14:textId="77777777" w:rsidR="00752F06" w:rsidRPr="00752F06" w:rsidRDefault="00752F06" w:rsidP="00752F06">
      <w:pPr>
        <w:spacing w:before="120" w:after="120"/>
        <w:contextualSpacing/>
        <w:jc w:val="both"/>
        <w:rPr>
          <w:rFonts w:ascii="Century Gothic" w:hAnsi="Century Gothic"/>
        </w:rPr>
      </w:pPr>
      <w:r w:rsidRPr="00752F06">
        <w:rPr>
          <w:rFonts w:ascii="Century Gothic" w:hAnsi="Century Gothic"/>
        </w:rPr>
        <w:t>The Bank has aligned its treatment of balances under the Standing Deposit Facility (SDF) with applicable regulatory guidance, resulting in inclusion of such balances as part of HQLA, thereby contributing to an increase in HQLA.</w:t>
      </w:r>
    </w:p>
    <w:p w14:paraId="6A04CDA2" w14:textId="77777777" w:rsidR="00752F06" w:rsidRPr="00752F06" w:rsidRDefault="00752F06" w:rsidP="00752F06">
      <w:pPr>
        <w:spacing w:before="120" w:after="120"/>
        <w:contextualSpacing/>
        <w:jc w:val="both"/>
        <w:rPr>
          <w:rFonts w:ascii="Century Gothic" w:hAnsi="Century Gothic"/>
        </w:rPr>
      </w:pPr>
    </w:p>
    <w:p w14:paraId="5551B9D5" w14:textId="3B53157E" w:rsidR="00752F06" w:rsidRPr="00752F06" w:rsidRDefault="00752F06" w:rsidP="00752F06">
      <w:pPr>
        <w:spacing w:before="120" w:after="120"/>
        <w:contextualSpacing/>
        <w:jc w:val="both"/>
        <w:rPr>
          <w:rFonts w:ascii="Century Gothic" w:hAnsi="Century Gothic"/>
          <w:b/>
          <w:bCs/>
        </w:rPr>
      </w:pPr>
      <w:bookmarkStart w:id="0" w:name="_GoBack"/>
      <w:r w:rsidRPr="00752F06">
        <w:rPr>
          <w:rFonts w:ascii="Century Gothic" w:hAnsi="Century Gothic"/>
          <w:b/>
          <w:bCs/>
        </w:rPr>
        <w:t>Changes in Outflows:</w:t>
      </w:r>
    </w:p>
    <w:bookmarkEnd w:id="0"/>
    <w:p w14:paraId="0B50296D" w14:textId="77777777" w:rsidR="00752F06" w:rsidRPr="00752F06" w:rsidRDefault="00752F06" w:rsidP="00752F06">
      <w:pPr>
        <w:spacing w:before="120" w:after="120"/>
        <w:contextualSpacing/>
        <w:jc w:val="both"/>
        <w:rPr>
          <w:rFonts w:ascii="Century Gothic" w:hAnsi="Century Gothic"/>
        </w:rPr>
      </w:pPr>
      <w:r w:rsidRPr="00752F06">
        <w:rPr>
          <w:rFonts w:ascii="Century Gothic" w:hAnsi="Century Gothic"/>
        </w:rPr>
        <w:t>The Bank has refined the classification of deposits into ‘stable’ and ‘less stable’ categories in line with regulatory clarifications on ‘transactional’ and ‘relationship’-based accounts. Accordingly, in addition to salary and pension deposits, certain deposits meeting the criteria of relationship and transactional accounts—such as customers maintaining multiple deposit relationships and/or loan relationships with the Bank—have been considered as stable deposits.</w:t>
      </w:r>
    </w:p>
    <w:p w14:paraId="22A15552" w14:textId="77777777" w:rsidR="00752F06" w:rsidRPr="00752F06" w:rsidRDefault="00752F06" w:rsidP="00CB60F4">
      <w:pPr>
        <w:spacing w:before="120" w:after="120"/>
        <w:contextualSpacing/>
        <w:jc w:val="both"/>
        <w:rPr>
          <w:rFonts w:ascii="Century Gothic" w:hAnsi="Century Gothic"/>
          <w:b/>
          <w:bCs/>
        </w:rPr>
      </w:pPr>
    </w:p>
    <w:p w14:paraId="1A65967E" w14:textId="77777777" w:rsidR="00CB60F4" w:rsidRDefault="00CB60F4" w:rsidP="00E72144">
      <w:pPr>
        <w:jc w:val="both"/>
        <w:rPr>
          <w:rFonts w:ascii="Century Gothic" w:hAnsi="Century Gothic"/>
          <w:b/>
          <w:bCs/>
        </w:rPr>
      </w:pPr>
    </w:p>
    <w:p w14:paraId="464B0E74" w14:textId="77777777" w:rsidR="00CB60F4" w:rsidRDefault="00CB60F4" w:rsidP="00E72144">
      <w:pPr>
        <w:jc w:val="both"/>
        <w:rPr>
          <w:rFonts w:ascii="Century Gothic" w:hAnsi="Century Gothic"/>
          <w:b/>
          <w:bCs/>
        </w:rPr>
      </w:pPr>
    </w:p>
    <w:p w14:paraId="48765833" w14:textId="77777777" w:rsidR="00CB60F4" w:rsidRDefault="00CB60F4" w:rsidP="00E72144">
      <w:pPr>
        <w:jc w:val="both"/>
        <w:rPr>
          <w:rFonts w:ascii="Century Gothic" w:hAnsi="Century Gothic"/>
          <w:b/>
          <w:bCs/>
        </w:rPr>
      </w:pPr>
    </w:p>
    <w:p w14:paraId="7F22711E" w14:textId="77777777" w:rsidR="00CB60F4" w:rsidRDefault="00CB60F4" w:rsidP="00E72144">
      <w:pPr>
        <w:jc w:val="both"/>
        <w:rPr>
          <w:rFonts w:ascii="Century Gothic" w:hAnsi="Century Gothic"/>
          <w:b/>
          <w:bCs/>
        </w:rPr>
      </w:pPr>
    </w:p>
    <w:p w14:paraId="6900F9A2" w14:textId="3C7AF050" w:rsidR="00E72144" w:rsidRDefault="00E72144" w:rsidP="00E72144">
      <w:pPr>
        <w:spacing w:before="120" w:after="120"/>
        <w:contextualSpacing/>
        <w:jc w:val="both"/>
        <w:rPr>
          <w:rFonts w:ascii="Century Gothic" w:hAnsi="Century Gothic"/>
        </w:rPr>
      </w:pPr>
    </w:p>
    <w:p w14:paraId="2BBB588A" w14:textId="69FC0862" w:rsidR="002E2DA7" w:rsidRPr="002E2DA7" w:rsidRDefault="002E2DA7" w:rsidP="00E72144">
      <w:pPr>
        <w:jc w:val="both"/>
        <w:rPr>
          <w:rFonts w:ascii="Century Gothic" w:hAnsi="Century Gothic"/>
          <w:sz w:val="22"/>
          <w:szCs w:val="22"/>
        </w:rPr>
      </w:pPr>
    </w:p>
    <w:sectPr w:rsidR="002E2DA7" w:rsidRPr="002E2DA7" w:rsidSect="005460D7">
      <w:footerReference w:type="default" r:id="rId8"/>
      <w:pgSz w:w="11906" w:h="16838"/>
      <w:pgMar w:top="1440" w:right="851" w:bottom="107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C7A9E" w14:textId="77777777" w:rsidR="005B6B59" w:rsidRDefault="005B6B59" w:rsidP="005460D7">
      <w:r>
        <w:separator/>
      </w:r>
    </w:p>
  </w:endnote>
  <w:endnote w:type="continuationSeparator" w:id="0">
    <w:p w14:paraId="55139C55" w14:textId="77777777" w:rsidR="005B6B59" w:rsidRDefault="005B6B59" w:rsidP="0054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947426"/>
      <w:docPartObj>
        <w:docPartGallery w:val="Page Numbers (Bottom of Page)"/>
        <w:docPartUnique/>
      </w:docPartObj>
    </w:sdtPr>
    <w:sdtEndPr>
      <w:rPr>
        <w:noProof/>
      </w:rPr>
    </w:sdtEndPr>
    <w:sdtContent>
      <w:p w14:paraId="60D51989" w14:textId="6D72C4B4" w:rsidR="005460D7" w:rsidRDefault="005460D7">
        <w:pPr>
          <w:pStyle w:val="Footer"/>
          <w:jc w:val="center"/>
        </w:pPr>
        <w:r>
          <w:fldChar w:fldCharType="begin"/>
        </w:r>
        <w:r>
          <w:instrText xml:space="preserve"> PAGE   \* MERGEFORMAT </w:instrText>
        </w:r>
        <w:r>
          <w:fldChar w:fldCharType="separate"/>
        </w:r>
        <w:r w:rsidR="00752F06">
          <w:rPr>
            <w:noProof/>
          </w:rPr>
          <w:t>1</w:t>
        </w:r>
        <w:r>
          <w:rPr>
            <w:noProof/>
          </w:rPr>
          <w:fldChar w:fldCharType="end"/>
        </w:r>
      </w:p>
    </w:sdtContent>
  </w:sdt>
  <w:p w14:paraId="7A5D03A5" w14:textId="77777777" w:rsidR="005460D7" w:rsidRDefault="00546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DF3A3" w14:textId="77777777" w:rsidR="005B6B59" w:rsidRDefault="005B6B59" w:rsidP="005460D7">
      <w:r>
        <w:separator/>
      </w:r>
    </w:p>
  </w:footnote>
  <w:footnote w:type="continuationSeparator" w:id="0">
    <w:p w14:paraId="083998BF" w14:textId="77777777" w:rsidR="005B6B59" w:rsidRDefault="005B6B59" w:rsidP="00546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0D2"/>
    <w:multiLevelType w:val="hybridMultilevel"/>
    <w:tmpl w:val="4E8221EC"/>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172B4D"/>
    <w:multiLevelType w:val="hybridMultilevel"/>
    <w:tmpl w:val="A7A87926"/>
    <w:lvl w:ilvl="0" w:tplc="0409000F">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
    <w:nsid w:val="12225902"/>
    <w:multiLevelType w:val="hybridMultilevel"/>
    <w:tmpl w:val="F280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F4DA8"/>
    <w:multiLevelType w:val="hybridMultilevel"/>
    <w:tmpl w:val="62A6D906"/>
    <w:lvl w:ilvl="0" w:tplc="FD5C738C">
      <w:start w:val="1"/>
      <w:numFmt w:val="decimal"/>
      <w:lvlText w:val="%1."/>
      <w:lvlJc w:val="left"/>
      <w:pPr>
        <w:ind w:left="1080" w:hanging="360"/>
      </w:pPr>
      <w:rPr>
        <w:rFonts w:hint="default"/>
      </w:rPr>
    </w:lvl>
    <w:lvl w:ilvl="1" w:tplc="3E8C02B8">
      <w:start w:val="1"/>
      <w:numFmt w:val="lowerLetter"/>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45166E5"/>
    <w:multiLevelType w:val="hybridMultilevel"/>
    <w:tmpl w:val="C10A47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C77389"/>
    <w:multiLevelType w:val="hybridMultilevel"/>
    <w:tmpl w:val="1562B1B8"/>
    <w:lvl w:ilvl="0" w:tplc="FC54EBF0">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42B7B71"/>
    <w:multiLevelType w:val="hybridMultilevel"/>
    <w:tmpl w:val="BC9A06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FDE3E30"/>
    <w:multiLevelType w:val="hybridMultilevel"/>
    <w:tmpl w:val="F790E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9845CF3"/>
    <w:multiLevelType w:val="hybridMultilevel"/>
    <w:tmpl w:val="1562B1B8"/>
    <w:lvl w:ilvl="0" w:tplc="FC54EBF0">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88F7691"/>
    <w:multiLevelType w:val="hybridMultilevel"/>
    <w:tmpl w:val="8F3EE054"/>
    <w:lvl w:ilvl="0" w:tplc="4009000F">
      <w:start w:val="1"/>
      <w:numFmt w:val="decimal"/>
      <w:lvlText w:val="%1."/>
      <w:lvlJc w:val="left"/>
      <w:pPr>
        <w:ind w:left="99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5"/>
  </w:num>
  <w:num w:numId="3">
    <w:abstractNumId w:val="9"/>
  </w:num>
  <w:num w:numId="4">
    <w:abstractNumId w:val="0"/>
  </w:num>
  <w:num w:numId="5">
    <w:abstractNumId w:val="3"/>
  </w:num>
  <w:num w:numId="6">
    <w:abstractNumId w:val="2"/>
  </w:num>
  <w:num w:numId="7">
    <w:abstractNumId w:val="1"/>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18"/>
    <w:rsid w:val="0000283F"/>
    <w:rsid w:val="00002942"/>
    <w:rsid w:val="00002F04"/>
    <w:rsid w:val="00007A42"/>
    <w:rsid w:val="00017E91"/>
    <w:rsid w:val="00020568"/>
    <w:rsid w:val="00024AE1"/>
    <w:rsid w:val="00026F8B"/>
    <w:rsid w:val="00031BC9"/>
    <w:rsid w:val="00034A05"/>
    <w:rsid w:val="00041641"/>
    <w:rsid w:val="000538C9"/>
    <w:rsid w:val="00063452"/>
    <w:rsid w:val="000647A1"/>
    <w:rsid w:val="00076D33"/>
    <w:rsid w:val="00083226"/>
    <w:rsid w:val="000856AD"/>
    <w:rsid w:val="00085E95"/>
    <w:rsid w:val="00087DB8"/>
    <w:rsid w:val="00091E78"/>
    <w:rsid w:val="0009671C"/>
    <w:rsid w:val="000A0186"/>
    <w:rsid w:val="000A1380"/>
    <w:rsid w:val="000A2B24"/>
    <w:rsid w:val="000A58FC"/>
    <w:rsid w:val="000B66F7"/>
    <w:rsid w:val="000D417B"/>
    <w:rsid w:val="000E25A5"/>
    <w:rsid w:val="000E2CA4"/>
    <w:rsid w:val="000E4435"/>
    <w:rsid w:val="000E5828"/>
    <w:rsid w:val="000F531A"/>
    <w:rsid w:val="00101484"/>
    <w:rsid w:val="00101925"/>
    <w:rsid w:val="001033AB"/>
    <w:rsid w:val="0011116D"/>
    <w:rsid w:val="001222F1"/>
    <w:rsid w:val="00122B21"/>
    <w:rsid w:val="00135425"/>
    <w:rsid w:val="0013701B"/>
    <w:rsid w:val="001404A3"/>
    <w:rsid w:val="00140BEE"/>
    <w:rsid w:val="00147321"/>
    <w:rsid w:val="001508EC"/>
    <w:rsid w:val="001550D9"/>
    <w:rsid w:val="00160F23"/>
    <w:rsid w:val="00170CBD"/>
    <w:rsid w:val="00176117"/>
    <w:rsid w:val="001773CA"/>
    <w:rsid w:val="001851D3"/>
    <w:rsid w:val="00191DC0"/>
    <w:rsid w:val="00193633"/>
    <w:rsid w:val="001957AA"/>
    <w:rsid w:val="00196A3B"/>
    <w:rsid w:val="001C0800"/>
    <w:rsid w:val="001C438B"/>
    <w:rsid w:val="001C62AF"/>
    <w:rsid w:val="001D019D"/>
    <w:rsid w:val="001D217E"/>
    <w:rsid w:val="001E45B1"/>
    <w:rsid w:val="001F3AAE"/>
    <w:rsid w:val="00212A4D"/>
    <w:rsid w:val="002221E9"/>
    <w:rsid w:val="0022489C"/>
    <w:rsid w:val="0022624A"/>
    <w:rsid w:val="00243B7E"/>
    <w:rsid w:val="00246B5D"/>
    <w:rsid w:val="00251971"/>
    <w:rsid w:val="00254259"/>
    <w:rsid w:val="002606E0"/>
    <w:rsid w:val="00263A71"/>
    <w:rsid w:val="00264044"/>
    <w:rsid w:val="002650F2"/>
    <w:rsid w:val="002727D4"/>
    <w:rsid w:val="00272B53"/>
    <w:rsid w:val="0027716F"/>
    <w:rsid w:val="00280E43"/>
    <w:rsid w:val="00292A51"/>
    <w:rsid w:val="002A5732"/>
    <w:rsid w:val="002B2FD8"/>
    <w:rsid w:val="002B56B7"/>
    <w:rsid w:val="002B6924"/>
    <w:rsid w:val="002C410A"/>
    <w:rsid w:val="002D5666"/>
    <w:rsid w:val="002E2DA7"/>
    <w:rsid w:val="002E4E83"/>
    <w:rsid w:val="002E7090"/>
    <w:rsid w:val="00305364"/>
    <w:rsid w:val="0031351B"/>
    <w:rsid w:val="00314819"/>
    <w:rsid w:val="0032291E"/>
    <w:rsid w:val="00323D57"/>
    <w:rsid w:val="003246D9"/>
    <w:rsid w:val="00331B08"/>
    <w:rsid w:val="00332562"/>
    <w:rsid w:val="003405CB"/>
    <w:rsid w:val="00342496"/>
    <w:rsid w:val="003573DB"/>
    <w:rsid w:val="00367797"/>
    <w:rsid w:val="00367FE2"/>
    <w:rsid w:val="00380610"/>
    <w:rsid w:val="00383FDE"/>
    <w:rsid w:val="00385081"/>
    <w:rsid w:val="00385D30"/>
    <w:rsid w:val="003954BD"/>
    <w:rsid w:val="003A140D"/>
    <w:rsid w:val="003C0AEB"/>
    <w:rsid w:val="003D4903"/>
    <w:rsid w:val="003E22F3"/>
    <w:rsid w:val="003E5EAF"/>
    <w:rsid w:val="0040052C"/>
    <w:rsid w:val="004061E6"/>
    <w:rsid w:val="004262DF"/>
    <w:rsid w:val="004340D0"/>
    <w:rsid w:val="00437094"/>
    <w:rsid w:val="00437114"/>
    <w:rsid w:val="00441C94"/>
    <w:rsid w:val="00457F19"/>
    <w:rsid w:val="00460746"/>
    <w:rsid w:val="00460E8E"/>
    <w:rsid w:val="0046436E"/>
    <w:rsid w:val="00472AA3"/>
    <w:rsid w:val="00475988"/>
    <w:rsid w:val="00477679"/>
    <w:rsid w:val="0049485A"/>
    <w:rsid w:val="00496A37"/>
    <w:rsid w:val="004A03D9"/>
    <w:rsid w:val="004A11BC"/>
    <w:rsid w:val="004C0D3D"/>
    <w:rsid w:val="004C4D9D"/>
    <w:rsid w:val="004C758F"/>
    <w:rsid w:val="004C7679"/>
    <w:rsid w:val="004D00AF"/>
    <w:rsid w:val="004D0E7B"/>
    <w:rsid w:val="004D2410"/>
    <w:rsid w:val="004D2902"/>
    <w:rsid w:val="004D5229"/>
    <w:rsid w:val="004E1B0A"/>
    <w:rsid w:val="005008E6"/>
    <w:rsid w:val="00506981"/>
    <w:rsid w:val="005079C4"/>
    <w:rsid w:val="00510126"/>
    <w:rsid w:val="00513DC6"/>
    <w:rsid w:val="00514D9D"/>
    <w:rsid w:val="005158EE"/>
    <w:rsid w:val="00517CCF"/>
    <w:rsid w:val="00527862"/>
    <w:rsid w:val="00531E1B"/>
    <w:rsid w:val="005353A8"/>
    <w:rsid w:val="005376BA"/>
    <w:rsid w:val="0054487B"/>
    <w:rsid w:val="005460D7"/>
    <w:rsid w:val="005512D6"/>
    <w:rsid w:val="00551A9B"/>
    <w:rsid w:val="00561BF2"/>
    <w:rsid w:val="005629C9"/>
    <w:rsid w:val="005723B8"/>
    <w:rsid w:val="00573FCE"/>
    <w:rsid w:val="00575765"/>
    <w:rsid w:val="00585F67"/>
    <w:rsid w:val="00592E09"/>
    <w:rsid w:val="005972B3"/>
    <w:rsid w:val="005A397E"/>
    <w:rsid w:val="005B492B"/>
    <w:rsid w:val="005B6B59"/>
    <w:rsid w:val="005C4F5F"/>
    <w:rsid w:val="005D2221"/>
    <w:rsid w:val="005F1375"/>
    <w:rsid w:val="00600D20"/>
    <w:rsid w:val="00617111"/>
    <w:rsid w:val="006219FF"/>
    <w:rsid w:val="00633D6A"/>
    <w:rsid w:val="00640A16"/>
    <w:rsid w:val="00641190"/>
    <w:rsid w:val="0065603F"/>
    <w:rsid w:val="00666FD8"/>
    <w:rsid w:val="006759BA"/>
    <w:rsid w:val="00690417"/>
    <w:rsid w:val="00690447"/>
    <w:rsid w:val="00692D81"/>
    <w:rsid w:val="006A3CAB"/>
    <w:rsid w:val="006A3D69"/>
    <w:rsid w:val="006B0225"/>
    <w:rsid w:val="006B12AD"/>
    <w:rsid w:val="006B3D76"/>
    <w:rsid w:val="006C38B7"/>
    <w:rsid w:val="006E12D6"/>
    <w:rsid w:val="006E6F2A"/>
    <w:rsid w:val="006E7567"/>
    <w:rsid w:val="006F409F"/>
    <w:rsid w:val="00701D5D"/>
    <w:rsid w:val="00703391"/>
    <w:rsid w:val="007171B6"/>
    <w:rsid w:val="00730AF3"/>
    <w:rsid w:val="0073171C"/>
    <w:rsid w:val="00734CC4"/>
    <w:rsid w:val="007372AD"/>
    <w:rsid w:val="007400F3"/>
    <w:rsid w:val="00752644"/>
    <w:rsid w:val="00752F06"/>
    <w:rsid w:val="00761941"/>
    <w:rsid w:val="00766F25"/>
    <w:rsid w:val="00770A90"/>
    <w:rsid w:val="007812CD"/>
    <w:rsid w:val="00785E9D"/>
    <w:rsid w:val="00790867"/>
    <w:rsid w:val="00792C01"/>
    <w:rsid w:val="007941F5"/>
    <w:rsid w:val="007A01BC"/>
    <w:rsid w:val="007A037E"/>
    <w:rsid w:val="007A3582"/>
    <w:rsid w:val="007B1BB3"/>
    <w:rsid w:val="007B2457"/>
    <w:rsid w:val="007B6035"/>
    <w:rsid w:val="007C677A"/>
    <w:rsid w:val="007E7301"/>
    <w:rsid w:val="007E7D28"/>
    <w:rsid w:val="007F2961"/>
    <w:rsid w:val="00801DB6"/>
    <w:rsid w:val="00815040"/>
    <w:rsid w:val="00815AC0"/>
    <w:rsid w:val="00824139"/>
    <w:rsid w:val="00824FA1"/>
    <w:rsid w:val="00840326"/>
    <w:rsid w:val="00847EB6"/>
    <w:rsid w:val="00852AD2"/>
    <w:rsid w:val="00871EB2"/>
    <w:rsid w:val="00875CBC"/>
    <w:rsid w:val="00880558"/>
    <w:rsid w:val="00883E17"/>
    <w:rsid w:val="00885D15"/>
    <w:rsid w:val="00893352"/>
    <w:rsid w:val="00894E19"/>
    <w:rsid w:val="008972E6"/>
    <w:rsid w:val="008A659F"/>
    <w:rsid w:val="008B6372"/>
    <w:rsid w:val="008D118C"/>
    <w:rsid w:val="008D2130"/>
    <w:rsid w:val="008E0A8A"/>
    <w:rsid w:val="00903CB3"/>
    <w:rsid w:val="0091428C"/>
    <w:rsid w:val="00915147"/>
    <w:rsid w:val="0092662C"/>
    <w:rsid w:val="009267C9"/>
    <w:rsid w:val="00930315"/>
    <w:rsid w:val="009336EA"/>
    <w:rsid w:val="00937832"/>
    <w:rsid w:val="00944A5B"/>
    <w:rsid w:val="009500DE"/>
    <w:rsid w:val="009509FB"/>
    <w:rsid w:val="00951035"/>
    <w:rsid w:val="00965E12"/>
    <w:rsid w:val="00967E20"/>
    <w:rsid w:val="00973484"/>
    <w:rsid w:val="00975445"/>
    <w:rsid w:val="0098572A"/>
    <w:rsid w:val="00995A5E"/>
    <w:rsid w:val="00996B54"/>
    <w:rsid w:val="00997321"/>
    <w:rsid w:val="009C195E"/>
    <w:rsid w:val="009C65F1"/>
    <w:rsid w:val="009D01A0"/>
    <w:rsid w:val="009D521B"/>
    <w:rsid w:val="009D610E"/>
    <w:rsid w:val="009E3580"/>
    <w:rsid w:val="009E542E"/>
    <w:rsid w:val="009E58ED"/>
    <w:rsid w:val="009F2C74"/>
    <w:rsid w:val="009F5FA9"/>
    <w:rsid w:val="00A03097"/>
    <w:rsid w:val="00A101C5"/>
    <w:rsid w:val="00A22B42"/>
    <w:rsid w:val="00A2611D"/>
    <w:rsid w:val="00A26A70"/>
    <w:rsid w:val="00A36543"/>
    <w:rsid w:val="00A3656D"/>
    <w:rsid w:val="00A36AF8"/>
    <w:rsid w:val="00A372F9"/>
    <w:rsid w:val="00A5608C"/>
    <w:rsid w:val="00A605C5"/>
    <w:rsid w:val="00A6156E"/>
    <w:rsid w:val="00A64651"/>
    <w:rsid w:val="00A71DB3"/>
    <w:rsid w:val="00A73573"/>
    <w:rsid w:val="00A851F0"/>
    <w:rsid w:val="00A92814"/>
    <w:rsid w:val="00AA2B4B"/>
    <w:rsid w:val="00AA4CEF"/>
    <w:rsid w:val="00AA6CD3"/>
    <w:rsid w:val="00AA761A"/>
    <w:rsid w:val="00AB4FA6"/>
    <w:rsid w:val="00AB53E7"/>
    <w:rsid w:val="00AB7F6C"/>
    <w:rsid w:val="00AC0ADA"/>
    <w:rsid w:val="00AD1963"/>
    <w:rsid w:val="00AD6D12"/>
    <w:rsid w:val="00AD6FCC"/>
    <w:rsid w:val="00AE1522"/>
    <w:rsid w:val="00AE34BF"/>
    <w:rsid w:val="00AF0A17"/>
    <w:rsid w:val="00AF578D"/>
    <w:rsid w:val="00B033E9"/>
    <w:rsid w:val="00B10CF2"/>
    <w:rsid w:val="00B122BF"/>
    <w:rsid w:val="00B13837"/>
    <w:rsid w:val="00B17773"/>
    <w:rsid w:val="00B231D1"/>
    <w:rsid w:val="00B24575"/>
    <w:rsid w:val="00B41C1F"/>
    <w:rsid w:val="00B420F1"/>
    <w:rsid w:val="00B53503"/>
    <w:rsid w:val="00B55D6D"/>
    <w:rsid w:val="00B61837"/>
    <w:rsid w:val="00B84198"/>
    <w:rsid w:val="00B965BF"/>
    <w:rsid w:val="00BB064F"/>
    <w:rsid w:val="00BB7303"/>
    <w:rsid w:val="00BC5854"/>
    <w:rsid w:val="00BF4545"/>
    <w:rsid w:val="00C02143"/>
    <w:rsid w:val="00C04C00"/>
    <w:rsid w:val="00C10F2D"/>
    <w:rsid w:val="00C153BB"/>
    <w:rsid w:val="00C22F34"/>
    <w:rsid w:val="00C24C5E"/>
    <w:rsid w:val="00C3058B"/>
    <w:rsid w:val="00C33613"/>
    <w:rsid w:val="00C37C0E"/>
    <w:rsid w:val="00C45CF9"/>
    <w:rsid w:val="00C460C8"/>
    <w:rsid w:val="00C47E2F"/>
    <w:rsid w:val="00C53CBD"/>
    <w:rsid w:val="00C55684"/>
    <w:rsid w:val="00C76342"/>
    <w:rsid w:val="00C813C4"/>
    <w:rsid w:val="00C86884"/>
    <w:rsid w:val="00C9145F"/>
    <w:rsid w:val="00C956D6"/>
    <w:rsid w:val="00CA3016"/>
    <w:rsid w:val="00CA7818"/>
    <w:rsid w:val="00CB1D76"/>
    <w:rsid w:val="00CB60F4"/>
    <w:rsid w:val="00CD1D02"/>
    <w:rsid w:val="00CD5443"/>
    <w:rsid w:val="00CD669D"/>
    <w:rsid w:val="00CF4ADB"/>
    <w:rsid w:val="00CF5F13"/>
    <w:rsid w:val="00CF7EF2"/>
    <w:rsid w:val="00D00E2D"/>
    <w:rsid w:val="00D01A1F"/>
    <w:rsid w:val="00D04876"/>
    <w:rsid w:val="00D120F1"/>
    <w:rsid w:val="00D155ED"/>
    <w:rsid w:val="00D15AE7"/>
    <w:rsid w:val="00D15E16"/>
    <w:rsid w:val="00D20685"/>
    <w:rsid w:val="00D27044"/>
    <w:rsid w:val="00D33098"/>
    <w:rsid w:val="00D33BBE"/>
    <w:rsid w:val="00D359BB"/>
    <w:rsid w:val="00D50111"/>
    <w:rsid w:val="00D6681A"/>
    <w:rsid w:val="00D66E78"/>
    <w:rsid w:val="00D86A07"/>
    <w:rsid w:val="00D968EF"/>
    <w:rsid w:val="00D97465"/>
    <w:rsid w:val="00DA19EB"/>
    <w:rsid w:val="00DA62C2"/>
    <w:rsid w:val="00DC0C3B"/>
    <w:rsid w:val="00DC6171"/>
    <w:rsid w:val="00DF0A22"/>
    <w:rsid w:val="00DF4F46"/>
    <w:rsid w:val="00DF73E4"/>
    <w:rsid w:val="00DF7A9D"/>
    <w:rsid w:val="00E01818"/>
    <w:rsid w:val="00E03162"/>
    <w:rsid w:val="00E20329"/>
    <w:rsid w:val="00E265D0"/>
    <w:rsid w:val="00E4457A"/>
    <w:rsid w:val="00E50EB3"/>
    <w:rsid w:val="00E541AB"/>
    <w:rsid w:val="00E57FCA"/>
    <w:rsid w:val="00E72144"/>
    <w:rsid w:val="00E732BB"/>
    <w:rsid w:val="00E750E4"/>
    <w:rsid w:val="00E84B3B"/>
    <w:rsid w:val="00E84FDB"/>
    <w:rsid w:val="00E92617"/>
    <w:rsid w:val="00E94533"/>
    <w:rsid w:val="00EA05E7"/>
    <w:rsid w:val="00EB628D"/>
    <w:rsid w:val="00ED0CDE"/>
    <w:rsid w:val="00ED75B4"/>
    <w:rsid w:val="00EE02D4"/>
    <w:rsid w:val="00EE1848"/>
    <w:rsid w:val="00EF5298"/>
    <w:rsid w:val="00F01070"/>
    <w:rsid w:val="00F122DE"/>
    <w:rsid w:val="00F235D1"/>
    <w:rsid w:val="00F43B43"/>
    <w:rsid w:val="00F46031"/>
    <w:rsid w:val="00F5333A"/>
    <w:rsid w:val="00F535AD"/>
    <w:rsid w:val="00F55461"/>
    <w:rsid w:val="00F57E39"/>
    <w:rsid w:val="00F61C9D"/>
    <w:rsid w:val="00F677CD"/>
    <w:rsid w:val="00F746E3"/>
    <w:rsid w:val="00FA13BF"/>
    <w:rsid w:val="00FA243F"/>
    <w:rsid w:val="00FA3057"/>
    <w:rsid w:val="00FB6729"/>
    <w:rsid w:val="00FC400E"/>
    <w:rsid w:val="00FC66B4"/>
    <w:rsid w:val="00FE2A13"/>
    <w:rsid w:val="00FE2C20"/>
    <w:rsid w:val="00FE789A"/>
    <w:rsid w:val="00FF218A"/>
    <w:rsid w:val="00FF66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1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A7818"/>
    <w:pPr>
      <w:keepNext/>
      <w:jc w:val="center"/>
      <w:outlineLvl w:val="2"/>
    </w:pPr>
    <w:rPr>
      <w:b/>
      <w:sz w:val="28"/>
      <w:szCs w:val="20"/>
    </w:rPr>
  </w:style>
  <w:style w:type="paragraph" w:styleId="Heading4">
    <w:name w:val="heading 4"/>
    <w:basedOn w:val="Normal"/>
    <w:next w:val="Normal"/>
    <w:link w:val="Heading4Char"/>
    <w:uiPriority w:val="9"/>
    <w:semiHidden/>
    <w:unhideWhenUsed/>
    <w:qFormat/>
    <w:rsid w:val="006E12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7818"/>
    <w:rPr>
      <w:rFonts w:ascii="Times New Roman" w:eastAsia="Times New Roman" w:hAnsi="Times New Roman" w:cs="Times New Roman"/>
      <w:b/>
      <w:sz w:val="28"/>
      <w:szCs w:val="20"/>
      <w:lang w:val="en-US"/>
    </w:rPr>
  </w:style>
  <w:style w:type="paragraph" w:styleId="ListParagraph">
    <w:name w:val="List Paragraph"/>
    <w:aliases w:val="numbered,List Paragraph1,List Paragraph Char Char,Equipment,List Paragraph11,List 1 Paragraph,Colorful List - Accent 11,List Paragraph111,Bullet List,FooterText,lp1,Use Case List Paragraph,Heading2,Paragraphe de liste1,列出段落,列出段落1,b1,list1"/>
    <w:basedOn w:val="Normal"/>
    <w:link w:val="ListParagraphChar"/>
    <w:uiPriority w:val="34"/>
    <w:qFormat/>
    <w:rsid w:val="00CA7818"/>
    <w:pPr>
      <w:ind w:left="720"/>
    </w:pPr>
  </w:style>
  <w:style w:type="character" w:customStyle="1" w:styleId="ListParagraphChar">
    <w:name w:val="List Paragraph Char"/>
    <w:aliases w:val="numbered Char,List Paragraph1 Char,List Paragraph Char Char Char,Equipment Char,List Paragraph11 Char,List 1 Paragraph Char,Colorful List - Accent 11 Char,List Paragraph111 Char,Bullet List Char,FooterText Char,lp1 Char,Heading2 Char"/>
    <w:link w:val="ListParagraph"/>
    <w:uiPriority w:val="34"/>
    <w:qFormat/>
    <w:rsid w:val="00CA7818"/>
    <w:rPr>
      <w:rFonts w:ascii="Times New Roman" w:eastAsia="Times New Roman" w:hAnsi="Times New Roman" w:cs="Times New Roman"/>
      <w:sz w:val="24"/>
      <w:szCs w:val="24"/>
      <w:lang w:val="en-US"/>
    </w:rPr>
  </w:style>
  <w:style w:type="paragraph" w:styleId="NoSpacing">
    <w:name w:val="No Spacing"/>
    <w:link w:val="NoSpacingChar"/>
    <w:uiPriority w:val="1"/>
    <w:qFormat/>
    <w:rsid w:val="00CA7818"/>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CA7818"/>
    <w:pPr>
      <w:autoSpaceDE w:val="0"/>
      <w:autoSpaceDN w:val="0"/>
      <w:adjustRightInd w:val="0"/>
      <w:spacing w:after="0" w:line="240" w:lineRule="auto"/>
    </w:pPr>
    <w:rPr>
      <w:rFonts w:ascii="Arial" w:eastAsia="Times New Roman" w:hAnsi="Arial" w:cs="Arial"/>
      <w:color w:val="000000"/>
      <w:sz w:val="24"/>
      <w:szCs w:val="24"/>
      <w:lang w:val="en-US" w:bidi="hi-IN"/>
    </w:rPr>
  </w:style>
  <w:style w:type="character" w:customStyle="1" w:styleId="NoSpacingChar">
    <w:name w:val="No Spacing Char"/>
    <w:link w:val="NoSpacing"/>
    <w:uiPriority w:val="1"/>
    <w:locked/>
    <w:rsid w:val="00CA7818"/>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6E12D6"/>
    <w:rPr>
      <w:rFonts w:asciiTheme="majorHAnsi" w:eastAsiaTheme="majorEastAsia" w:hAnsiTheme="majorHAnsi" w:cstheme="majorBidi"/>
      <w:i/>
      <w:iCs/>
      <w:color w:val="2F5496" w:themeColor="accent1" w:themeShade="BF"/>
      <w:sz w:val="24"/>
      <w:szCs w:val="24"/>
      <w:lang w:val="en-US"/>
    </w:rPr>
  </w:style>
  <w:style w:type="paragraph" w:styleId="BodyTextIndent2">
    <w:name w:val="Body Text Indent 2"/>
    <w:basedOn w:val="Normal"/>
    <w:link w:val="BodyTextIndent2Char"/>
    <w:semiHidden/>
    <w:rsid w:val="006E12D6"/>
    <w:pPr>
      <w:ind w:left="720" w:hanging="720"/>
      <w:jc w:val="both"/>
    </w:pPr>
    <w:rPr>
      <w:szCs w:val="20"/>
    </w:rPr>
  </w:style>
  <w:style w:type="character" w:customStyle="1" w:styleId="BodyTextIndent2Char">
    <w:name w:val="Body Text Indent 2 Char"/>
    <w:basedOn w:val="DefaultParagraphFont"/>
    <w:link w:val="BodyTextIndent2"/>
    <w:semiHidden/>
    <w:rsid w:val="006E12D6"/>
    <w:rPr>
      <w:rFonts w:ascii="Times New Roman" w:eastAsia="Times New Roman" w:hAnsi="Times New Roman" w:cs="Times New Roman"/>
      <w:sz w:val="24"/>
      <w:szCs w:val="20"/>
      <w:lang w:val="en-US"/>
    </w:rPr>
  </w:style>
  <w:style w:type="paragraph" w:styleId="Header">
    <w:name w:val="header"/>
    <w:basedOn w:val="Normal"/>
    <w:link w:val="HeaderChar"/>
    <w:uiPriority w:val="99"/>
    <w:rsid w:val="006E12D6"/>
    <w:pPr>
      <w:tabs>
        <w:tab w:val="center" w:pos="4320"/>
        <w:tab w:val="right" w:pos="8640"/>
      </w:tabs>
    </w:pPr>
  </w:style>
  <w:style w:type="character" w:customStyle="1" w:styleId="HeaderChar">
    <w:name w:val="Header Char"/>
    <w:basedOn w:val="DefaultParagraphFont"/>
    <w:link w:val="Header"/>
    <w:uiPriority w:val="99"/>
    <w:rsid w:val="006E12D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55684"/>
    <w:rPr>
      <w:rFonts w:ascii="Tahoma" w:hAnsi="Tahoma" w:cs="Tahoma"/>
      <w:sz w:val="16"/>
      <w:szCs w:val="16"/>
    </w:rPr>
  </w:style>
  <w:style w:type="character" w:customStyle="1" w:styleId="BalloonTextChar">
    <w:name w:val="Balloon Text Char"/>
    <w:basedOn w:val="DefaultParagraphFont"/>
    <w:link w:val="BalloonText"/>
    <w:uiPriority w:val="99"/>
    <w:semiHidden/>
    <w:rsid w:val="00C55684"/>
    <w:rPr>
      <w:rFonts w:ascii="Tahoma" w:eastAsia="Times New Roman" w:hAnsi="Tahoma" w:cs="Tahoma"/>
      <w:sz w:val="16"/>
      <w:szCs w:val="16"/>
      <w:lang w:val="en-US"/>
    </w:rPr>
  </w:style>
  <w:style w:type="paragraph" w:styleId="Footer">
    <w:name w:val="footer"/>
    <w:basedOn w:val="Normal"/>
    <w:link w:val="FooterChar"/>
    <w:uiPriority w:val="99"/>
    <w:unhideWhenUsed/>
    <w:rsid w:val="005460D7"/>
    <w:pPr>
      <w:tabs>
        <w:tab w:val="center" w:pos="4513"/>
        <w:tab w:val="right" w:pos="9026"/>
      </w:tabs>
    </w:pPr>
  </w:style>
  <w:style w:type="character" w:customStyle="1" w:styleId="FooterChar">
    <w:name w:val="Footer Char"/>
    <w:basedOn w:val="DefaultParagraphFont"/>
    <w:link w:val="Footer"/>
    <w:uiPriority w:val="99"/>
    <w:rsid w:val="005460D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1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A7818"/>
    <w:pPr>
      <w:keepNext/>
      <w:jc w:val="center"/>
      <w:outlineLvl w:val="2"/>
    </w:pPr>
    <w:rPr>
      <w:b/>
      <w:sz w:val="28"/>
      <w:szCs w:val="20"/>
    </w:rPr>
  </w:style>
  <w:style w:type="paragraph" w:styleId="Heading4">
    <w:name w:val="heading 4"/>
    <w:basedOn w:val="Normal"/>
    <w:next w:val="Normal"/>
    <w:link w:val="Heading4Char"/>
    <w:uiPriority w:val="9"/>
    <w:semiHidden/>
    <w:unhideWhenUsed/>
    <w:qFormat/>
    <w:rsid w:val="006E12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7818"/>
    <w:rPr>
      <w:rFonts w:ascii="Times New Roman" w:eastAsia="Times New Roman" w:hAnsi="Times New Roman" w:cs="Times New Roman"/>
      <w:b/>
      <w:sz w:val="28"/>
      <w:szCs w:val="20"/>
      <w:lang w:val="en-US"/>
    </w:rPr>
  </w:style>
  <w:style w:type="paragraph" w:styleId="ListParagraph">
    <w:name w:val="List Paragraph"/>
    <w:aliases w:val="numbered,List Paragraph1,List Paragraph Char Char,Equipment,List Paragraph11,List 1 Paragraph,Colorful List - Accent 11,List Paragraph111,Bullet List,FooterText,lp1,Use Case List Paragraph,Heading2,Paragraphe de liste1,列出段落,列出段落1,b1,list1"/>
    <w:basedOn w:val="Normal"/>
    <w:link w:val="ListParagraphChar"/>
    <w:uiPriority w:val="34"/>
    <w:qFormat/>
    <w:rsid w:val="00CA7818"/>
    <w:pPr>
      <w:ind w:left="720"/>
    </w:pPr>
  </w:style>
  <w:style w:type="character" w:customStyle="1" w:styleId="ListParagraphChar">
    <w:name w:val="List Paragraph Char"/>
    <w:aliases w:val="numbered Char,List Paragraph1 Char,List Paragraph Char Char Char,Equipment Char,List Paragraph11 Char,List 1 Paragraph Char,Colorful List - Accent 11 Char,List Paragraph111 Char,Bullet List Char,FooterText Char,lp1 Char,Heading2 Char"/>
    <w:link w:val="ListParagraph"/>
    <w:uiPriority w:val="34"/>
    <w:qFormat/>
    <w:rsid w:val="00CA7818"/>
    <w:rPr>
      <w:rFonts w:ascii="Times New Roman" w:eastAsia="Times New Roman" w:hAnsi="Times New Roman" w:cs="Times New Roman"/>
      <w:sz w:val="24"/>
      <w:szCs w:val="24"/>
      <w:lang w:val="en-US"/>
    </w:rPr>
  </w:style>
  <w:style w:type="paragraph" w:styleId="NoSpacing">
    <w:name w:val="No Spacing"/>
    <w:link w:val="NoSpacingChar"/>
    <w:uiPriority w:val="1"/>
    <w:qFormat/>
    <w:rsid w:val="00CA7818"/>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CA7818"/>
    <w:pPr>
      <w:autoSpaceDE w:val="0"/>
      <w:autoSpaceDN w:val="0"/>
      <w:adjustRightInd w:val="0"/>
      <w:spacing w:after="0" w:line="240" w:lineRule="auto"/>
    </w:pPr>
    <w:rPr>
      <w:rFonts w:ascii="Arial" w:eastAsia="Times New Roman" w:hAnsi="Arial" w:cs="Arial"/>
      <w:color w:val="000000"/>
      <w:sz w:val="24"/>
      <w:szCs w:val="24"/>
      <w:lang w:val="en-US" w:bidi="hi-IN"/>
    </w:rPr>
  </w:style>
  <w:style w:type="character" w:customStyle="1" w:styleId="NoSpacingChar">
    <w:name w:val="No Spacing Char"/>
    <w:link w:val="NoSpacing"/>
    <w:uiPriority w:val="1"/>
    <w:locked/>
    <w:rsid w:val="00CA7818"/>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6E12D6"/>
    <w:rPr>
      <w:rFonts w:asciiTheme="majorHAnsi" w:eastAsiaTheme="majorEastAsia" w:hAnsiTheme="majorHAnsi" w:cstheme="majorBidi"/>
      <w:i/>
      <w:iCs/>
      <w:color w:val="2F5496" w:themeColor="accent1" w:themeShade="BF"/>
      <w:sz w:val="24"/>
      <w:szCs w:val="24"/>
      <w:lang w:val="en-US"/>
    </w:rPr>
  </w:style>
  <w:style w:type="paragraph" w:styleId="BodyTextIndent2">
    <w:name w:val="Body Text Indent 2"/>
    <w:basedOn w:val="Normal"/>
    <w:link w:val="BodyTextIndent2Char"/>
    <w:semiHidden/>
    <w:rsid w:val="006E12D6"/>
    <w:pPr>
      <w:ind w:left="720" w:hanging="720"/>
      <w:jc w:val="both"/>
    </w:pPr>
    <w:rPr>
      <w:szCs w:val="20"/>
    </w:rPr>
  </w:style>
  <w:style w:type="character" w:customStyle="1" w:styleId="BodyTextIndent2Char">
    <w:name w:val="Body Text Indent 2 Char"/>
    <w:basedOn w:val="DefaultParagraphFont"/>
    <w:link w:val="BodyTextIndent2"/>
    <w:semiHidden/>
    <w:rsid w:val="006E12D6"/>
    <w:rPr>
      <w:rFonts w:ascii="Times New Roman" w:eastAsia="Times New Roman" w:hAnsi="Times New Roman" w:cs="Times New Roman"/>
      <w:sz w:val="24"/>
      <w:szCs w:val="20"/>
      <w:lang w:val="en-US"/>
    </w:rPr>
  </w:style>
  <w:style w:type="paragraph" w:styleId="Header">
    <w:name w:val="header"/>
    <w:basedOn w:val="Normal"/>
    <w:link w:val="HeaderChar"/>
    <w:uiPriority w:val="99"/>
    <w:rsid w:val="006E12D6"/>
    <w:pPr>
      <w:tabs>
        <w:tab w:val="center" w:pos="4320"/>
        <w:tab w:val="right" w:pos="8640"/>
      </w:tabs>
    </w:pPr>
  </w:style>
  <w:style w:type="character" w:customStyle="1" w:styleId="HeaderChar">
    <w:name w:val="Header Char"/>
    <w:basedOn w:val="DefaultParagraphFont"/>
    <w:link w:val="Header"/>
    <w:uiPriority w:val="99"/>
    <w:rsid w:val="006E12D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55684"/>
    <w:rPr>
      <w:rFonts w:ascii="Tahoma" w:hAnsi="Tahoma" w:cs="Tahoma"/>
      <w:sz w:val="16"/>
      <w:szCs w:val="16"/>
    </w:rPr>
  </w:style>
  <w:style w:type="character" w:customStyle="1" w:styleId="BalloonTextChar">
    <w:name w:val="Balloon Text Char"/>
    <w:basedOn w:val="DefaultParagraphFont"/>
    <w:link w:val="BalloonText"/>
    <w:uiPriority w:val="99"/>
    <w:semiHidden/>
    <w:rsid w:val="00C55684"/>
    <w:rPr>
      <w:rFonts w:ascii="Tahoma" w:eastAsia="Times New Roman" w:hAnsi="Tahoma" w:cs="Tahoma"/>
      <w:sz w:val="16"/>
      <w:szCs w:val="16"/>
      <w:lang w:val="en-US"/>
    </w:rPr>
  </w:style>
  <w:style w:type="paragraph" w:styleId="Footer">
    <w:name w:val="footer"/>
    <w:basedOn w:val="Normal"/>
    <w:link w:val="FooterChar"/>
    <w:uiPriority w:val="99"/>
    <w:unhideWhenUsed/>
    <w:rsid w:val="005460D7"/>
    <w:pPr>
      <w:tabs>
        <w:tab w:val="center" w:pos="4513"/>
        <w:tab w:val="right" w:pos="9026"/>
      </w:tabs>
    </w:pPr>
  </w:style>
  <w:style w:type="character" w:customStyle="1" w:styleId="FooterChar">
    <w:name w:val="Footer Char"/>
    <w:basedOn w:val="DefaultParagraphFont"/>
    <w:link w:val="Footer"/>
    <w:uiPriority w:val="99"/>
    <w:rsid w:val="005460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966">
      <w:bodyDiv w:val="1"/>
      <w:marLeft w:val="0"/>
      <w:marRight w:val="0"/>
      <w:marTop w:val="0"/>
      <w:marBottom w:val="0"/>
      <w:divBdr>
        <w:top w:val="none" w:sz="0" w:space="0" w:color="auto"/>
        <w:left w:val="none" w:sz="0" w:space="0" w:color="auto"/>
        <w:bottom w:val="none" w:sz="0" w:space="0" w:color="auto"/>
        <w:right w:val="none" w:sz="0" w:space="0" w:color="auto"/>
      </w:divBdr>
    </w:div>
    <w:div w:id="97339589">
      <w:bodyDiv w:val="1"/>
      <w:marLeft w:val="0"/>
      <w:marRight w:val="0"/>
      <w:marTop w:val="0"/>
      <w:marBottom w:val="0"/>
      <w:divBdr>
        <w:top w:val="none" w:sz="0" w:space="0" w:color="auto"/>
        <w:left w:val="none" w:sz="0" w:space="0" w:color="auto"/>
        <w:bottom w:val="none" w:sz="0" w:space="0" w:color="auto"/>
        <w:right w:val="none" w:sz="0" w:space="0" w:color="auto"/>
      </w:divBdr>
    </w:div>
    <w:div w:id="290480082">
      <w:bodyDiv w:val="1"/>
      <w:marLeft w:val="0"/>
      <w:marRight w:val="0"/>
      <w:marTop w:val="0"/>
      <w:marBottom w:val="0"/>
      <w:divBdr>
        <w:top w:val="none" w:sz="0" w:space="0" w:color="auto"/>
        <w:left w:val="none" w:sz="0" w:space="0" w:color="auto"/>
        <w:bottom w:val="none" w:sz="0" w:space="0" w:color="auto"/>
        <w:right w:val="none" w:sz="0" w:space="0" w:color="auto"/>
      </w:divBdr>
    </w:div>
    <w:div w:id="375158450">
      <w:bodyDiv w:val="1"/>
      <w:marLeft w:val="0"/>
      <w:marRight w:val="0"/>
      <w:marTop w:val="0"/>
      <w:marBottom w:val="0"/>
      <w:divBdr>
        <w:top w:val="none" w:sz="0" w:space="0" w:color="auto"/>
        <w:left w:val="none" w:sz="0" w:space="0" w:color="auto"/>
        <w:bottom w:val="none" w:sz="0" w:space="0" w:color="auto"/>
        <w:right w:val="none" w:sz="0" w:space="0" w:color="auto"/>
      </w:divBdr>
    </w:div>
    <w:div w:id="383329674">
      <w:bodyDiv w:val="1"/>
      <w:marLeft w:val="0"/>
      <w:marRight w:val="0"/>
      <w:marTop w:val="0"/>
      <w:marBottom w:val="0"/>
      <w:divBdr>
        <w:top w:val="none" w:sz="0" w:space="0" w:color="auto"/>
        <w:left w:val="none" w:sz="0" w:space="0" w:color="auto"/>
        <w:bottom w:val="none" w:sz="0" w:space="0" w:color="auto"/>
        <w:right w:val="none" w:sz="0" w:space="0" w:color="auto"/>
      </w:divBdr>
    </w:div>
    <w:div w:id="465054467">
      <w:bodyDiv w:val="1"/>
      <w:marLeft w:val="0"/>
      <w:marRight w:val="0"/>
      <w:marTop w:val="0"/>
      <w:marBottom w:val="0"/>
      <w:divBdr>
        <w:top w:val="none" w:sz="0" w:space="0" w:color="auto"/>
        <w:left w:val="none" w:sz="0" w:space="0" w:color="auto"/>
        <w:bottom w:val="none" w:sz="0" w:space="0" w:color="auto"/>
        <w:right w:val="none" w:sz="0" w:space="0" w:color="auto"/>
      </w:divBdr>
    </w:div>
    <w:div w:id="483936043">
      <w:bodyDiv w:val="1"/>
      <w:marLeft w:val="0"/>
      <w:marRight w:val="0"/>
      <w:marTop w:val="0"/>
      <w:marBottom w:val="0"/>
      <w:divBdr>
        <w:top w:val="none" w:sz="0" w:space="0" w:color="auto"/>
        <w:left w:val="none" w:sz="0" w:space="0" w:color="auto"/>
        <w:bottom w:val="none" w:sz="0" w:space="0" w:color="auto"/>
        <w:right w:val="none" w:sz="0" w:space="0" w:color="auto"/>
      </w:divBdr>
    </w:div>
    <w:div w:id="556477890">
      <w:bodyDiv w:val="1"/>
      <w:marLeft w:val="0"/>
      <w:marRight w:val="0"/>
      <w:marTop w:val="0"/>
      <w:marBottom w:val="0"/>
      <w:divBdr>
        <w:top w:val="none" w:sz="0" w:space="0" w:color="auto"/>
        <w:left w:val="none" w:sz="0" w:space="0" w:color="auto"/>
        <w:bottom w:val="none" w:sz="0" w:space="0" w:color="auto"/>
        <w:right w:val="none" w:sz="0" w:space="0" w:color="auto"/>
      </w:divBdr>
    </w:div>
    <w:div w:id="660357450">
      <w:bodyDiv w:val="1"/>
      <w:marLeft w:val="0"/>
      <w:marRight w:val="0"/>
      <w:marTop w:val="0"/>
      <w:marBottom w:val="0"/>
      <w:divBdr>
        <w:top w:val="none" w:sz="0" w:space="0" w:color="auto"/>
        <w:left w:val="none" w:sz="0" w:space="0" w:color="auto"/>
        <w:bottom w:val="none" w:sz="0" w:space="0" w:color="auto"/>
        <w:right w:val="none" w:sz="0" w:space="0" w:color="auto"/>
      </w:divBdr>
    </w:div>
    <w:div w:id="1007172446">
      <w:bodyDiv w:val="1"/>
      <w:marLeft w:val="0"/>
      <w:marRight w:val="0"/>
      <w:marTop w:val="0"/>
      <w:marBottom w:val="0"/>
      <w:divBdr>
        <w:top w:val="none" w:sz="0" w:space="0" w:color="auto"/>
        <w:left w:val="none" w:sz="0" w:space="0" w:color="auto"/>
        <w:bottom w:val="none" w:sz="0" w:space="0" w:color="auto"/>
        <w:right w:val="none" w:sz="0" w:space="0" w:color="auto"/>
      </w:divBdr>
    </w:div>
    <w:div w:id="1056589891">
      <w:bodyDiv w:val="1"/>
      <w:marLeft w:val="0"/>
      <w:marRight w:val="0"/>
      <w:marTop w:val="0"/>
      <w:marBottom w:val="0"/>
      <w:divBdr>
        <w:top w:val="none" w:sz="0" w:space="0" w:color="auto"/>
        <w:left w:val="none" w:sz="0" w:space="0" w:color="auto"/>
        <w:bottom w:val="none" w:sz="0" w:space="0" w:color="auto"/>
        <w:right w:val="none" w:sz="0" w:space="0" w:color="auto"/>
      </w:divBdr>
    </w:div>
    <w:div w:id="1132291234">
      <w:bodyDiv w:val="1"/>
      <w:marLeft w:val="0"/>
      <w:marRight w:val="0"/>
      <w:marTop w:val="0"/>
      <w:marBottom w:val="0"/>
      <w:divBdr>
        <w:top w:val="none" w:sz="0" w:space="0" w:color="auto"/>
        <w:left w:val="none" w:sz="0" w:space="0" w:color="auto"/>
        <w:bottom w:val="none" w:sz="0" w:space="0" w:color="auto"/>
        <w:right w:val="none" w:sz="0" w:space="0" w:color="auto"/>
      </w:divBdr>
    </w:div>
    <w:div w:id="1137843155">
      <w:bodyDiv w:val="1"/>
      <w:marLeft w:val="0"/>
      <w:marRight w:val="0"/>
      <w:marTop w:val="0"/>
      <w:marBottom w:val="0"/>
      <w:divBdr>
        <w:top w:val="none" w:sz="0" w:space="0" w:color="auto"/>
        <w:left w:val="none" w:sz="0" w:space="0" w:color="auto"/>
        <w:bottom w:val="none" w:sz="0" w:space="0" w:color="auto"/>
        <w:right w:val="none" w:sz="0" w:space="0" w:color="auto"/>
      </w:divBdr>
    </w:div>
    <w:div w:id="1138912621">
      <w:bodyDiv w:val="1"/>
      <w:marLeft w:val="0"/>
      <w:marRight w:val="0"/>
      <w:marTop w:val="0"/>
      <w:marBottom w:val="0"/>
      <w:divBdr>
        <w:top w:val="none" w:sz="0" w:space="0" w:color="auto"/>
        <w:left w:val="none" w:sz="0" w:space="0" w:color="auto"/>
        <w:bottom w:val="none" w:sz="0" w:space="0" w:color="auto"/>
        <w:right w:val="none" w:sz="0" w:space="0" w:color="auto"/>
      </w:divBdr>
    </w:div>
    <w:div w:id="1339504062">
      <w:bodyDiv w:val="1"/>
      <w:marLeft w:val="0"/>
      <w:marRight w:val="0"/>
      <w:marTop w:val="0"/>
      <w:marBottom w:val="0"/>
      <w:divBdr>
        <w:top w:val="none" w:sz="0" w:space="0" w:color="auto"/>
        <w:left w:val="none" w:sz="0" w:space="0" w:color="auto"/>
        <w:bottom w:val="none" w:sz="0" w:space="0" w:color="auto"/>
        <w:right w:val="none" w:sz="0" w:space="0" w:color="auto"/>
      </w:divBdr>
      <w:divsChild>
        <w:div w:id="1773209605">
          <w:marLeft w:val="0"/>
          <w:marRight w:val="0"/>
          <w:marTop w:val="240"/>
          <w:marBottom w:val="240"/>
          <w:divBdr>
            <w:top w:val="none" w:sz="0" w:space="0" w:color="auto"/>
            <w:left w:val="none" w:sz="0" w:space="0" w:color="auto"/>
            <w:bottom w:val="none" w:sz="0" w:space="0" w:color="auto"/>
            <w:right w:val="none" w:sz="0" w:space="0" w:color="auto"/>
          </w:divBdr>
        </w:div>
        <w:div w:id="598367353">
          <w:marLeft w:val="0"/>
          <w:marRight w:val="0"/>
          <w:marTop w:val="240"/>
          <w:marBottom w:val="240"/>
          <w:divBdr>
            <w:top w:val="none" w:sz="0" w:space="0" w:color="auto"/>
            <w:left w:val="none" w:sz="0" w:space="0" w:color="auto"/>
            <w:bottom w:val="none" w:sz="0" w:space="0" w:color="auto"/>
            <w:right w:val="none" w:sz="0" w:space="0" w:color="auto"/>
          </w:divBdr>
        </w:div>
        <w:div w:id="922029407">
          <w:marLeft w:val="0"/>
          <w:marRight w:val="0"/>
          <w:marTop w:val="240"/>
          <w:marBottom w:val="240"/>
          <w:divBdr>
            <w:top w:val="none" w:sz="0" w:space="0" w:color="auto"/>
            <w:left w:val="none" w:sz="0" w:space="0" w:color="auto"/>
            <w:bottom w:val="none" w:sz="0" w:space="0" w:color="auto"/>
            <w:right w:val="none" w:sz="0" w:space="0" w:color="auto"/>
          </w:divBdr>
        </w:div>
        <w:div w:id="126365621">
          <w:marLeft w:val="0"/>
          <w:marRight w:val="0"/>
          <w:marTop w:val="240"/>
          <w:marBottom w:val="240"/>
          <w:divBdr>
            <w:top w:val="none" w:sz="0" w:space="0" w:color="auto"/>
            <w:left w:val="none" w:sz="0" w:space="0" w:color="auto"/>
            <w:bottom w:val="none" w:sz="0" w:space="0" w:color="auto"/>
            <w:right w:val="none" w:sz="0" w:space="0" w:color="auto"/>
          </w:divBdr>
        </w:div>
      </w:divsChild>
    </w:div>
    <w:div w:id="1502240415">
      <w:bodyDiv w:val="1"/>
      <w:marLeft w:val="0"/>
      <w:marRight w:val="0"/>
      <w:marTop w:val="0"/>
      <w:marBottom w:val="0"/>
      <w:divBdr>
        <w:top w:val="none" w:sz="0" w:space="0" w:color="auto"/>
        <w:left w:val="none" w:sz="0" w:space="0" w:color="auto"/>
        <w:bottom w:val="none" w:sz="0" w:space="0" w:color="auto"/>
        <w:right w:val="none" w:sz="0" w:space="0" w:color="auto"/>
      </w:divBdr>
    </w:div>
    <w:div w:id="1643458281">
      <w:bodyDiv w:val="1"/>
      <w:marLeft w:val="0"/>
      <w:marRight w:val="0"/>
      <w:marTop w:val="0"/>
      <w:marBottom w:val="0"/>
      <w:divBdr>
        <w:top w:val="none" w:sz="0" w:space="0" w:color="auto"/>
        <w:left w:val="none" w:sz="0" w:space="0" w:color="auto"/>
        <w:bottom w:val="none" w:sz="0" w:space="0" w:color="auto"/>
        <w:right w:val="none" w:sz="0" w:space="0" w:color="auto"/>
      </w:divBdr>
    </w:div>
    <w:div w:id="1716126530">
      <w:bodyDiv w:val="1"/>
      <w:marLeft w:val="0"/>
      <w:marRight w:val="0"/>
      <w:marTop w:val="0"/>
      <w:marBottom w:val="0"/>
      <w:divBdr>
        <w:top w:val="none" w:sz="0" w:space="0" w:color="auto"/>
        <w:left w:val="none" w:sz="0" w:space="0" w:color="auto"/>
        <w:bottom w:val="none" w:sz="0" w:space="0" w:color="auto"/>
        <w:right w:val="none" w:sz="0" w:space="0" w:color="auto"/>
      </w:divBdr>
    </w:div>
    <w:div w:id="1747995811">
      <w:bodyDiv w:val="1"/>
      <w:marLeft w:val="0"/>
      <w:marRight w:val="0"/>
      <w:marTop w:val="0"/>
      <w:marBottom w:val="0"/>
      <w:divBdr>
        <w:top w:val="none" w:sz="0" w:space="0" w:color="auto"/>
        <w:left w:val="none" w:sz="0" w:space="0" w:color="auto"/>
        <w:bottom w:val="none" w:sz="0" w:space="0" w:color="auto"/>
        <w:right w:val="none" w:sz="0" w:space="0" w:color="auto"/>
      </w:divBdr>
    </w:div>
    <w:div w:id="1767529778">
      <w:bodyDiv w:val="1"/>
      <w:marLeft w:val="0"/>
      <w:marRight w:val="0"/>
      <w:marTop w:val="0"/>
      <w:marBottom w:val="0"/>
      <w:divBdr>
        <w:top w:val="none" w:sz="0" w:space="0" w:color="auto"/>
        <w:left w:val="none" w:sz="0" w:space="0" w:color="auto"/>
        <w:bottom w:val="none" w:sz="0" w:space="0" w:color="auto"/>
        <w:right w:val="none" w:sz="0" w:space="0" w:color="auto"/>
      </w:divBdr>
    </w:div>
    <w:div w:id="1806044031">
      <w:bodyDiv w:val="1"/>
      <w:marLeft w:val="0"/>
      <w:marRight w:val="0"/>
      <w:marTop w:val="0"/>
      <w:marBottom w:val="0"/>
      <w:divBdr>
        <w:top w:val="none" w:sz="0" w:space="0" w:color="auto"/>
        <w:left w:val="none" w:sz="0" w:space="0" w:color="auto"/>
        <w:bottom w:val="none" w:sz="0" w:space="0" w:color="auto"/>
        <w:right w:val="none" w:sz="0" w:space="0" w:color="auto"/>
      </w:divBdr>
    </w:div>
    <w:div w:id="1901553551">
      <w:bodyDiv w:val="1"/>
      <w:marLeft w:val="0"/>
      <w:marRight w:val="0"/>
      <w:marTop w:val="0"/>
      <w:marBottom w:val="0"/>
      <w:divBdr>
        <w:top w:val="none" w:sz="0" w:space="0" w:color="auto"/>
        <w:left w:val="none" w:sz="0" w:space="0" w:color="auto"/>
        <w:bottom w:val="none" w:sz="0" w:space="0" w:color="auto"/>
        <w:right w:val="none" w:sz="0" w:space="0" w:color="auto"/>
      </w:divBdr>
    </w:div>
    <w:div w:id="21349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5</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SGR</dc:creator>
  <cp:lastModifiedBy>Saurabh Ranjan</cp:lastModifiedBy>
  <cp:revision>382</cp:revision>
  <cp:lastPrinted>2026-05-07T05:29:00Z</cp:lastPrinted>
  <dcterms:created xsi:type="dcterms:W3CDTF">2024-04-24T11:45:00Z</dcterms:created>
  <dcterms:modified xsi:type="dcterms:W3CDTF">2026-05-07T05:31:00Z</dcterms:modified>
</cp:coreProperties>
</file>